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C2" w:rsidRPr="00292301" w:rsidRDefault="00F157C2" w:rsidP="00F157C2">
      <w:pPr>
        <w:spacing w:line="360" w:lineRule="auto"/>
        <w:ind w:firstLine="709"/>
        <w:jc w:val="both"/>
        <w:rPr>
          <w:color w:val="000000"/>
          <w:sz w:val="22"/>
          <w:szCs w:val="22"/>
        </w:rPr>
      </w:pPr>
      <w:r w:rsidRPr="00292301">
        <w:rPr>
          <w:color w:val="000000"/>
          <w:sz w:val="22"/>
          <w:szCs w:val="22"/>
        </w:rPr>
        <w:t xml:space="preserve">В </w:t>
      </w:r>
      <w:proofErr w:type="gramStart"/>
      <w:r w:rsidRPr="00292301">
        <w:rPr>
          <w:color w:val="000000"/>
          <w:sz w:val="22"/>
          <w:szCs w:val="22"/>
        </w:rPr>
        <w:t>соответствии</w:t>
      </w:r>
      <w:proofErr w:type="gramEnd"/>
      <w:r w:rsidRPr="00292301">
        <w:rPr>
          <w:color w:val="000000"/>
          <w:sz w:val="22"/>
          <w:szCs w:val="22"/>
        </w:rPr>
        <w:t xml:space="preserve">  с п.20 п.21 постановления  Правительства РФ от 21.01.2004 № 24 «Об утверждении Стандартов раскрытия информации субъектами  оптового и розничных рынков электрической энергии» ООО «</w:t>
      </w:r>
      <w:proofErr w:type="spellStart"/>
      <w:r w:rsidRPr="00292301">
        <w:rPr>
          <w:color w:val="000000"/>
          <w:sz w:val="22"/>
          <w:szCs w:val="22"/>
        </w:rPr>
        <w:t>Энергокомфорт</w:t>
      </w:r>
      <w:proofErr w:type="spellEnd"/>
      <w:r w:rsidRPr="00292301">
        <w:rPr>
          <w:color w:val="000000"/>
          <w:sz w:val="22"/>
          <w:szCs w:val="22"/>
        </w:rPr>
        <w:t>». Единая Карельская сбытовая компания» предоставляет следующую информацию:</w:t>
      </w:r>
    </w:p>
    <w:p w:rsidR="00F157C2" w:rsidRDefault="00F157C2" w:rsidP="00F157C2">
      <w:pPr>
        <w:spacing w:line="360" w:lineRule="auto"/>
        <w:ind w:firstLine="709"/>
        <w:jc w:val="both"/>
        <w:rPr>
          <w:sz w:val="22"/>
          <w:szCs w:val="22"/>
          <w:lang w:val="en-US"/>
        </w:rPr>
      </w:pPr>
      <w:r w:rsidRPr="00292301">
        <w:rPr>
          <w:sz w:val="22"/>
          <w:szCs w:val="22"/>
        </w:rPr>
        <w:t>В 201</w:t>
      </w:r>
      <w:r w:rsidR="007A3C59" w:rsidRPr="007A3C59">
        <w:rPr>
          <w:sz w:val="22"/>
          <w:szCs w:val="22"/>
        </w:rPr>
        <w:t>6</w:t>
      </w:r>
      <w:r w:rsidRPr="00292301">
        <w:rPr>
          <w:sz w:val="22"/>
          <w:szCs w:val="22"/>
        </w:rPr>
        <w:t xml:space="preserve"> году </w:t>
      </w:r>
      <w:r w:rsidRPr="00292301">
        <w:rPr>
          <w:b/>
          <w:sz w:val="22"/>
          <w:szCs w:val="22"/>
        </w:rPr>
        <w:t>метод доходности инвестированного капитала</w:t>
      </w:r>
      <w:r w:rsidRPr="00292301">
        <w:rPr>
          <w:sz w:val="22"/>
          <w:szCs w:val="22"/>
        </w:rPr>
        <w:t xml:space="preserve"> при государственном регулировании тарифов в отношен</w:t>
      </w:r>
      <w:proofErr w:type="gramStart"/>
      <w:r w:rsidRPr="00292301">
        <w:rPr>
          <w:sz w:val="22"/>
          <w:szCs w:val="22"/>
        </w:rPr>
        <w:t>ии ООО</w:t>
      </w:r>
      <w:proofErr w:type="gramEnd"/>
      <w:r w:rsidRPr="00292301">
        <w:rPr>
          <w:sz w:val="22"/>
          <w:szCs w:val="22"/>
        </w:rPr>
        <w:t xml:space="preserve"> «</w:t>
      </w:r>
      <w:proofErr w:type="spellStart"/>
      <w:r w:rsidRPr="00292301">
        <w:rPr>
          <w:sz w:val="22"/>
          <w:szCs w:val="22"/>
        </w:rPr>
        <w:t>Энергокомфорт</w:t>
      </w:r>
      <w:proofErr w:type="spellEnd"/>
      <w:r w:rsidRPr="00292301">
        <w:rPr>
          <w:sz w:val="22"/>
          <w:szCs w:val="22"/>
        </w:rPr>
        <w:t>». Карелия» не применялся. (</w:t>
      </w:r>
      <w:proofErr w:type="spellStart"/>
      <w:r w:rsidRPr="00292301">
        <w:rPr>
          <w:sz w:val="22"/>
          <w:szCs w:val="22"/>
        </w:rPr>
        <w:t>под</w:t>
      </w:r>
      <w:proofErr w:type="gramStart"/>
      <w:r w:rsidRPr="00292301">
        <w:rPr>
          <w:sz w:val="22"/>
          <w:szCs w:val="22"/>
        </w:rPr>
        <w:t>.в</w:t>
      </w:r>
      <w:proofErr w:type="spellEnd"/>
      <w:proofErr w:type="gramEnd"/>
      <w:r w:rsidRPr="00292301">
        <w:rPr>
          <w:sz w:val="22"/>
          <w:szCs w:val="22"/>
        </w:rPr>
        <w:t xml:space="preserve"> п.9 Стандартов)</w:t>
      </w:r>
    </w:p>
    <w:p w:rsidR="00682DC5" w:rsidRPr="00682DC5" w:rsidRDefault="00682DC5" w:rsidP="00F157C2">
      <w:pPr>
        <w:spacing w:line="360" w:lineRule="auto"/>
        <w:ind w:firstLine="709"/>
        <w:jc w:val="both"/>
        <w:rPr>
          <w:sz w:val="22"/>
          <w:szCs w:val="22"/>
          <w:lang w:val="en-US"/>
        </w:rPr>
      </w:pPr>
    </w:p>
    <w:p w:rsidR="00F157C2" w:rsidRPr="00292301" w:rsidRDefault="00F157C2" w:rsidP="00F157C2">
      <w:pPr>
        <w:spacing w:line="360" w:lineRule="auto"/>
        <w:ind w:firstLine="851"/>
        <w:jc w:val="center"/>
        <w:rPr>
          <w:sz w:val="22"/>
          <w:szCs w:val="22"/>
        </w:rPr>
      </w:pPr>
      <w:r w:rsidRPr="00292301">
        <w:rPr>
          <w:b/>
          <w:sz w:val="22"/>
          <w:szCs w:val="22"/>
        </w:rPr>
        <w:t>Предложение о расчете сбытовой надбавк</w:t>
      </w:r>
      <w:proofErr w:type="gramStart"/>
      <w:r w:rsidRPr="00292301">
        <w:rPr>
          <w:b/>
          <w:sz w:val="22"/>
          <w:szCs w:val="22"/>
        </w:rPr>
        <w:t>и ООО</w:t>
      </w:r>
      <w:proofErr w:type="gramEnd"/>
      <w:r w:rsidRPr="00292301">
        <w:rPr>
          <w:b/>
          <w:sz w:val="22"/>
          <w:szCs w:val="22"/>
        </w:rPr>
        <w:t xml:space="preserve"> «</w:t>
      </w:r>
      <w:proofErr w:type="spellStart"/>
      <w:r w:rsidRPr="00292301">
        <w:rPr>
          <w:b/>
          <w:sz w:val="22"/>
          <w:szCs w:val="22"/>
        </w:rPr>
        <w:t>Энергокомфорт</w:t>
      </w:r>
      <w:proofErr w:type="spellEnd"/>
      <w:r w:rsidRPr="00292301">
        <w:rPr>
          <w:b/>
          <w:sz w:val="22"/>
          <w:szCs w:val="22"/>
        </w:rPr>
        <w:t>». Карелия» на 201</w:t>
      </w:r>
      <w:r>
        <w:rPr>
          <w:b/>
          <w:sz w:val="22"/>
          <w:szCs w:val="22"/>
          <w:lang w:val="en-US"/>
        </w:rPr>
        <w:t>7</w:t>
      </w:r>
      <w:r w:rsidRPr="00292301">
        <w:rPr>
          <w:b/>
          <w:sz w:val="22"/>
          <w:szCs w:val="22"/>
        </w:rPr>
        <w:t xml:space="preserve"> год</w:t>
      </w:r>
      <w:r w:rsidRPr="00292301">
        <w:rPr>
          <w:sz w:val="22"/>
          <w:szCs w:val="22"/>
        </w:rPr>
        <w:t>:</w:t>
      </w:r>
    </w:p>
    <w:p w:rsidR="00F157C2" w:rsidRDefault="00F157C2" w:rsidP="001823F7">
      <w:pPr>
        <w:ind w:firstLine="851"/>
        <w:jc w:val="both"/>
        <w:rPr>
          <w:sz w:val="22"/>
          <w:szCs w:val="22"/>
          <w:lang w:val="en-US"/>
        </w:rPr>
      </w:pPr>
    </w:p>
    <w:tbl>
      <w:tblPr>
        <w:tblW w:w="5000" w:type="pct"/>
        <w:tblLook w:val="04A0"/>
      </w:tblPr>
      <w:tblGrid>
        <w:gridCol w:w="4479"/>
        <w:gridCol w:w="10590"/>
      </w:tblGrid>
      <w:tr w:rsidR="00F157C2" w:rsidRPr="00B114E8" w:rsidTr="00F157C2">
        <w:trPr>
          <w:trHeight w:val="255"/>
        </w:trPr>
        <w:tc>
          <w:tcPr>
            <w:tcW w:w="1486" w:type="pct"/>
            <w:tcBorders>
              <w:top w:val="nil"/>
              <w:left w:val="nil"/>
              <w:bottom w:val="nil"/>
              <w:right w:val="nil"/>
            </w:tcBorders>
            <w:shd w:val="clear" w:color="auto" w:fill="auto"/>
            <w:noWrap/>
            <w:vAlign w:val="bottom"/>
            <w:hideMark/>
          </w:tcPr>
          <w:p w:rsidR="00F157C2" w:rsidRPr="00B114E8" w:rsidRDefault="00F157C2" w:rsidP="00F157C2">
            <w:pPr>
              <w:rPr>
                <w:sz w:val="20"/>
                <w:szCs w:val="20"/>
              </w:rPr>
            </w:pPr>
          </w:p>
        </w:tc>
        <w:tc>
          <w:tcPr>
            <w:tcW w:w="3514" w:type="pct"/>
            <w:tcBorders>
              <w:top w:val="nil"/>
              <w:left w:val="nil"/>
              <w:bottom w:val="nil"/>
              <w:right w:val="nil"/>
            </w:tcBorders>
            <w:shd w:val="clear" w:color="auto" w:fill="auto"/>
            <w:noWrap/>
            <w:vAlign w:val="bottom"/>
            <w:hideMark/>
          </w:tcPr>
          <w:p w:rsidR="00F157C2" w:rsidRPr="003D4677" w:rsidRDefault="00F157C2" w:rsidP="00F157C2">
            <w:pPr>
              <w:jc w:val="right"/>
              <w:rPr>
                <w:sz w:val="20"/>
                <w:szCs w:val="20"/>
              </w:rPr>
            </w:pPr>
          </w:p>
          <w:p w:rsidR="00F157C2" w:rsidRPr="003D4677" w:rsidRDefault="00F157C2" w:rsidP="00F157C2">
            <w:pPr>
              <w:jc w:val="right"/>
              <w:rPr>
                <w:sz w:val="20"/>
                <w:szCs w:val="20"/>
              </w:rPr>
            </w:pPr>
          </w:p>
          <w:p w:rsidR="00F157C2" w:rsidRPr="00B114E8" w:rsidRDefault="00F157C2" w:rsidP="00F157C2">
            <w:pPr>
              <w:jc w:val="right"/>
              <w:rPr>
                <w:sz w:val="16"/>
                <w:szCs w:val="16"/>
              </w:rPr>
            </w:pPr>
            <w:r w:rsidRPr="00B114E8">
              <w:rPr>
                <w:sz w:val="16"/>
                <w:szCs w:val="16"/>
              </w:rPr>
              <w:t>Приложение № 1 к предложению о размере цен (тарифов), долгосрочных параметров регулирования</w:t>
            </w:r>
          </w:p>
        </w:tc>
      </w:tr>
      <w:tr w:rsidR="00F157C2" w:rsidRPr="00B114E8" w:rsidTr="00F157C2">
        <w:trPr>
          <w:trHeight w:val="255"/>
        </w:trPr>
        <w:tc>
          <w:tcPr>
            <w:tcW w:w="1486" w:type="pct"/>
            <w:tcBorders>
              <w:top w:val="nil"/>
              <w:left w:val="nil"/>
              <w:bottom w:val="single" w:sz="4" w:space="0" w:color="auto"/>
              <w:right w:val="nil"/>
            </w:tcBorders>
            <w:shd w:val="clear" w:color="auto" w:fill="auto"/>
            <w:noWrap/>
            <w:vAlign w:val="bottom"/>
            <w:hideMark/>
          </w:tcPr>
          <w:p w:rsidR="00F157C2" w:rsidRPr="00B114E8" w:rsidRDefault="00F157C2" w:rsidP="00F157C2">
            <w:pPr>
              <w:rPr>
                <w:sz w:val="20"/>
                <w:szCs w:val="20"/>
              </w:rPr>
            </w:pPr>
          </w:p>
        </w:tc>
        <w:tc>
          <w:tcPr>
            <w:tcW w:w="3514" w:type="pct"/>
            <w:tcBorders>
              <w:top w:val="nil"/>
              <w:left w:val="nil"/>
              <w:bottom w:val="single" w:sz="4" w:space="0" w:color="auto"/>
              <w:right w:val="nil"/>
            </w:tcBorders>
            <w:shd w:val="clear" w:color="auto" w:fill="auto"/>
            <w:noWrap/>
            <w:vAlign w:val="bottom"/>
            <w:hideMark/>
          </w:tcPr>
          <w:p w:rsidR="00F157C2" w:rsidRPr="00B114E8" w:rsidRDefault="00F157C2" w:rsidP="00F157C2">
            <w:pPr>
              <w:rPr>
                <w:sz w:val="20"/>
                <w:szCs w:val="20"/>
              </w:rPr>
            </w:pPr>
          </w:p>
        </w:tc>
      </w:tr>
      <w:tr w:rsidR="00F157C2" w:rsidRPr="00B114E8" w:rsidTr="00F157C2">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7C2" w:rsidRPr="00B114E8" w:rsidRDefault="00F157C2" w:rsidP="00F157C2">
            <w:pPr>
              <w:jc w:val="center"/>
              <w:rPr>
                <w:sz w:val="22"/>
                <w:szCs w:val="22"/>
              </w:rPr>
            </w:pPr>
            <w:r w:rsidRPr="00B114E8">
              <w:rPr>
                <w:sz w:val="22"/>
                <w:szCs w:val="22"/>
              </w:rPr>
              <w:t>Раздел 1. Информация об организации</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7C2" w:rsidRPr="00B114E8" w:rsidRDefault="00F157C2" w:rsidP="00F157C2">
            <w:pPr>
              <w:rPr>
                <w:sz w:val="20"/>
                <w:szCs w:val="20"/>
              </w:rPr>
            </w:pPr>
          </w:p>
        </w:tc>
      </w:tr>
      <w:tr w:rsidR="00F157C2" w:rsidRPr="00B114E8" w:rsidTr="00F157C2">
        <w:trPr>
          <w:trHeight w:val="510"/>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Полное наименование</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Общество с ограниченной ответственностью "</w:t>
            </w:r>
            <w:proofErr w:type="spellStart"/>
            <w:r w:rsidRPr="00B114E8">
              <w:rPr>
                <w:sz w:val="20"/>
                <w:szCs w:val="20"/>
              </w:rPr>
              <w:t>Энергокомфорт</w:t>
            </w:r>
            <w:proofErr w:type="spellEnd"/>
            <w:r w:rsidRPr="00B114E8">
              <w:rPr>
                <w:sz w:val="20"/>
                <w:szCs w:val="20"/>
              </w:rPr>
              <w:t>". Единая Карельская сбытовая компания"</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 xml:space="preserve">Сокращенное </w:t>
            </w:r>
            <w:proofErr w:type="spellStart"/>
            <w:r w:rsidRPr="00B114E8">
              <w:rPr>
                <w:sz w:val="20"/>
                <w:szCs w:val="20"/>
              </w:rPr>
              <w:t>наименовани</w:t>
            </w:r>
            <w:proofErr w:type="spellEnd"/>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ООО "</w:t>
            </w:r>
            <w:proofErr w:type="spellStart"/>
            <w:r w:rsidRPr="00B114E8">
              <w:rPr>
                <w:sz w:val="20"/>
                <w:szCs w:val="20"/>
              </w:rPr>
              <w:t>Энергокомфорт</w:t>
            </w:r>
            <w:proofErr w:type="spellEnd"/>
            <w:r w:rsidRPr="00B114E8">
              <w:rPr>
                <w:sz w:val="20"/>
                <w:szCs w:val="20"/>
              </w:rPr>
              <w:t>". Карелия"</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Место нахождения</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185031 г</w:t>
            </w:r>
            <w:proofErr w:type="gramStart"/>
            <w:r w:rsidRPr="00B114E8">
              <w:rPr>
                <w:sz w:val="20"/>
                <w:szCs w:val="20"/>
              </w:rPr>
              <w:t>.П</w:t>
            </w:r>
            <w:proofErr w:type="gramEnd"/>
            <w:r w:rsidRPr="00B114E8">
              <w:rPr>
                <w:sz w:val="20"/>
                <w:szCs w:val="20"/>
              </w:rPr>
              <w:t>етрозаводск ул.Зайцева д.67А</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Фактический адрес</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185031 г</w:t>
            </w:r>
            <w:proofErr w:type="gramStart"/>
            <w:r w:rsidRPr="00B114E8">
              <w:rPr>
                <w:sz w:val="20"/>
                <w:szCs w:val="20"/>
              </w:rPr>
              <w:t>.П</w:t>
            </w:r>
            <w:proofErr w:type="gramEnd"/>
            <w:r w:rsidRPr="00B114E8">
              <w:rPr>
                <w:sz w:val="20"/>
                <w:szCs w:val="20"/>
              </w:rPr>
              <w:t>етрозаводск ул.Зайцева д.67А</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ИНН</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1001174763</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КПП</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100150001</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ФИО руководителя</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Лысанов Виталий Александрович</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Адрес электронной почты</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774240" w:rsidP="00F157C2">
            <w:pPr>
              <w:rPr>
                <w:color w:val="0000FF"/>
                <w:sz w:val="20"/>
                <w:szCs w:val="20"/>
                <w:u w:val="single"/>
              </w:rPr>
            </w:pPr>
            <w:hyperlink r:id="rId6" w:history="1">
              <w:r w:rsidR="00F157C2" w:rsidRPr="00B114E8">
                <w:rPr>
                  <w:color w:val="0000FF"/>
                  <w:sz w:val="20"/>
                  <w:szCs w:val="20"/>
                  <w:u w:val="single"/>
                </w:rPr>
                <w:t>komfort@rks.karelia.ru</w:t>
              </w:r>
            </w:hyperlink>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Контактный телефон</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(8142)33-26-21</w:t>
            </w: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p>
        </w:tc>
      </w:tr>
      <w:tr w:rsidR="00F157C2" w:rsidRPr="00B114E8" w:rsidTr="00F157C2">
        <w:trPr>
          <w:trHeight w:val="255"/>
        </w:trPr>
        <w:tc>
          <w:tcPr>
            <w:tcW w:w="1486" w:type="pct"/>
            <w:tcBorders>
              <w:top w:val="single" w:sz="4" w:space="0" w:color="auto"/>
              <w:left w:val="single" w:sz="4" w:space="0" w:color="auto"/>
              <w:bottom w:val="single" w:sz="4" w:space="0" w:color="auto"/>
              <w:right w:val="single" w:sz="4" w:space="0" w:color="auto"/>
            </w:tcBorders>
            <w:shd w:val="clear" w:color="auto" w:fill="auto"/>
            <w:noWrap/>
            <w:hideMark/>
          </w:tcPr>
          <w:p w:rsidR="00F157C2" w:rsidRPr="00B114E8" w:rsidRDefault="00F157C2" w:rsidP="00F157C2">
            <w:pPr>
              <w:rPr>
                <w:sz w:val="20"/>
                <w:szCs w:val="20"/>
              </w:rPr>
            </w:pPr>
            <w:r w:rsidRPr="00B114E8">
              <w:rPr>
                <w:sz w:val="20"/>
                <w:szCs w:val="20"/>
              </w:rPr>
              <w:t>Факс</w:t>
            </w:r>
          </w:p>
        </w:tc>
        <w:tc>
          <w:tcPr>
            <w:tcW w:w="3514" w:type="pct"/>
            <w:tcBorders>
              <w:top w:val="single" w:sz="4" w:space="0" w:color="auto"/>
              <w:left w:val="single" w:sz="4" w:space="0" w:color="auto"/>
              <w:bottom w:val="single" w:sz="4" w:space="0" w:color="auto"/>
              <w:right w:val="single" w:sz="4" w:space="0" w:color="auto"/>
            </w:tcBorders>
            <w:shd w:val="clear" w:color="auto" w:fill="auto"/>
            <w:hideMark/>
          </w:tcPr>
          <w:p w:rsidR="00F157C2" w:rsidRPr="00B114E8" w:rsidRDefault="00F157C2" w:rsidP="00F157C2">
            <w:pPr>
              <w:rPr>
                <w:sz w:val="20"/>
                <w:szCs w:val="20"/>
              </w:rPr>
            </w:pPr>
            <w:r w:rsidRPr="00B114E8">
              <w:rPr>
                <w:sz w:val="20"/>
                <w:szCs w:val="20"/>
              </w:rPr>
              <w:t>(8142)33-26-33</w:t>
            </w:r>
          </w:p>
        </w:tc>
      </w:tr>
    </w:tbl>
    <w:p w:rsidR="00F157C2" w:rsidRDefault="00F157C2" w:rsidP="00F157C2">
      <w:pPr>
        <w:ind w:firstLine="851"/>
        <w:jc w:val="right"/>
        <w:rPr>
          <w:sz w:val="16"/>
          <w:szCs w:val="16"/>
          <w:lang w:val="en-US"/>
        </w:rPr>
      </w:pPr>
    </w:p>
    <w:p w:rsidR="00F157C2" w:rsidRPr="00351E21" w:rsidRDefault="00F157C2" w:rsidP="00F157C2">
      <w:pPr>
        <w:ind w:firstLine="851"/>
        <w:jc w:val="right"/>
        <w:rPr>
          <w:sz w:val="16"/>
          <w:szCs w:val="16"/>
        </w:rPr>
      </w:pPr>
      <w:r w:rsidRPr="00351E21">
        <w:rPr>
          <w:sz w:val="16"/>
          <w:szCs w:val="16"/>
        </w:rPr>
        <w:lastRenderedPageBreak/>
        <w:t>Приложение № 3 к предложению о размере цен (тарифов), долгосрочных параметров регулирования</w:t>
      </w:r>
    </w:p>
    <w:p w:rsidR="00F157C2" w:rsidRPr="00351E21" w:rsidRDefault="00F157C2" w:rsidP="00F157C2">
      <w:pPr>
        <w:ind w:firstLine="851"/>
        <w:rPr>
          <w:sz w:val="22"/>
          <w:szCs w:val="22"/>
        </w:rPr>
      </w:pPr>
    </w:p>
    <w:p w:rsidR="00F157C2" w:rsidRPr="00CF6575" w:rsidRDefault="00F157C2" w:rsidP="00F157C2">
      <w:pPr>
        <w:jc w:val="center"/>
        <w:rPr>
          <w:sz w:val="22"/>
          <w:szCs w:val="22"/>
        </w:rPr>
      </w:pPr>
      <w:r w:rsidRPr="00351E21">
        <w:rPr>
          <w:sz w:val="22"/>
          <w:szCs w:val="22"/>
        </w:rPr>
        <w:t>Раздел 2. Основные показатели деятельности гарантирующих поставщиков</w:t>
      </w:r>
    </w:p>
    <w:p w:rsidR="00303D5C" w:rsidRPr="00CF6575" w:rsidRDefault="00303D5C" w:rsidP="00F157C2">
      <w:pPr>
        <w:jc w:val="center"/>
        <w:rPr>
          <w:sz w:val="22"/>
          <w:szCs w:val="22"/>
        </w:rPr>
      </w:pPr>
    </w:p>
    <w:tbl>
      <w:tblPr>
        <w:tblW w:w="14897" w:type="dxa"/>
        <w:tblInd w:w="95" w:type="dxa"/>
        <w:tblLook w:val="04A0"/>
      </w:tblPr>
      <w:tblGrid>
        <w:gridCol w:w="1431"/>
        <w:gridCol w:w="3685"/>
        <w:gridCol w:w="1843"/>
        <w:gridCol w:w="3119"/>
        <w:gridCol w:w="1842"/>
        <w:gridCol w:w="2977"/>
      </w:tblGrid>
      <w:tr w:rsidR="00F157C2" w:rsidRPr="00303D5C" w:rsidTr="00303D5C">
        <w:trPr>
          <w:trHeight w:val="1380"/>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C2" w:rsidRPr="00303D5C" w:rsidRDefault="00F157C2" w:rsidP="00F157C2">
            <w:pPr>
              <w:jc w:val="center"/>
              <w:rPr>
                <w:sz w:val="20"/>
                <w:szCs w:val="20"/>
              </w:rPr>
            </w:pPr>
            <w:bookmarkStart w:id="0" w:name="RANGE!A1:F106"/>
            <w:bookmarkStart w:id="1" w:name="RANGE!A8:F44"/>
            <w:bookmarkEnd w:id="0"/>
            <w:r w:rsidRPr="00303D5C">
              <w:rPr>
                <w:sz w:val="20"/>
                <w:szCs w:val="20"/>
              </w:rPr>
              <w:t xml:space="preserve">№ </w:t>
            </w:r>
            <w:r w:rsidRPr="00303D5C">
              <w:rPr>
                <w:sz w:val="20"/>
                <w:szCs w:val="20"/>
              </w:rPr>
              <w:br/>
            </w:r>
            <w:proofErr w:type="spellStart"/>
            <w:proofErr w:type="gramStart"/>
            <w:r w:rsidRPr="00303D5C">
              <w:rPr>
                <w:sz w:val="20"/>
                <w:szCs w:val="20"/>
              </w:rPr>
              <w:t>п</w:t>
            </w:r>
            <w:proofErr w:type="spellEnd"/>
            <w:proofErr w:type="gramEnd"/>
            <w:r w:rsidRPr="00303D5C">
              <w:rPr>
                <w:sz w:val="20"/>
                <w:szCs w:val="20"/>
              </w:rPr>
              <w:t>/</w:t>
            </w:r>
            <w:proofErr w:type="spellStart"/>
            <w:r w:rsidRPr="00303D5C">
              <w:rPr>
                <w:sz w:val="20"/>
                <w:szCs w:val="20"/>
              </w:rPr>
              <w:t>п</w:t>
            </w:r>
            <w:bookmarkEnd w:id="1"/>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C2" w:rsidRPr="00303D5C" w:rsidRDefault="00F157C2" w:rsidP="00F157C2">
            <w:pPr>
              <w:jc w:val="center"/>
              <w:rPr>
                <w:sz w:val="20"/>
                <w:szCs w:val="20"/>
              </w:rPr>
            </w:pPr>
            <w:r w:rsidRPr="00303D5C">
              <w:rPr>
                <w:sz w:val="20"/>
                <w:szCs w:val="20"/>
              </w:rPr>
              <w:t>Наименование показателей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C2" w:rsidRPr="00303D5C" w:rsidRDefault="00F157C2" w:rsidP="00F157C2">
            <w:pPr>
              <w:jc w:val="center"/>
              <w:rPr>
                <w:sz w:val="20"/>
                <w:szCs w:val="20"/>
              </w:rPr>
            </w:pPr>
            <w:r w:rsidRPr="00303D5C">
              <w:rPr>
                <w:sz w:val="20"/>
                <w:szCs w:val="20"/>
              </w:rPr>
              <w:t>Единица измерения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C2" w:rsidRPr="00303D5C" w:rsidRDefault="00F157C2" w:rsidP="00F157C2">
            <w:pPr>
              <w:jc w:val="center"/>
              <w:rPr>
                <w:sz w:val="20"/>
                <w:szCs w:val="20"/>
              </w:rPr>
            </w:pPr>
            <w:r w:rsidRPr="00303D5C">
              <w:rPr>
                <w:sz w:val="20"/>
                <w:szCs w:val="20"/>
              </w:rPr>
              <w:t xml:space="preserve">Фактические показатели </w:t>
            </w:r>
            <w:r w:rsidRPr="00303D5C">
              <w:rPr>
                <w:sz w:val="20"/>
                <w:szCs w:val="20"/>
              </w:rPr>
              <w:br/>
              <w:t>за год, предшествующий базовому периоду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C2" w:rsidRPr="00303D5C" w:rsidRDefault="00F157C2" w:rsidP="00F157C2">
            <w:pPr>
              <w:jc w:val="center"/>
              <w:rPr>
                <w:sz w:val="20"/>
                <w:szCs w:val="20"/>
              </w:rPr>
            </w:pPr>
            <w:r w:rsidRPr="00303D5C">
              <w:rPr>
                <w:sz w:val="20"/>
                <w:szCs w:val="20"/>
              </w:rPr>
              <w:t xml:space="preserve">Показатели, утвержденные </w:t>
            </w:r>
            <w:r w:rsidRPr="00303D5C">
              <w:rPr>
                <w:sz w:val="20"/>
                <w:szCs w:val="20"/>
              </w:rPr>
              <w:br/>
              <w:t>на базовый период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57C2" w:rsidRPr="00303D5C" w:rsidRDefault="00F157C2" w:rsidP="00F157C2">
            <w:pPr>
              <w:jc w:val="center"/>
              <w:rPr>
                <w:sz w:val="20"/>
                <w:szCs w:val="20"/>
              </w:rPr>
            </w:pPr>
            <w:r w:rsidRPr="00303D5C">
              <w:rPr>
                <w:sz w:val="20"/>
                <w:szCs w:val="20"/>
              </w:rPr>
              <w:t xml:space="preserve">Предложения </w:t>
            </w:r>
            <w:r w:rsidRPr="00303D5C">
              <w:rPr>
                <w:sz w:val="20"/>
                <w:szCs w:val="20"/>
              </w:rPr>
              <w:br/>
              <w:t>на расчетный период регулирования</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Объемы полезного отпуска электрической энергии - всего</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828 295,77</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811 943,00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796 916,88</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том числе: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населению и приравненным к нему категориям потребителей</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320 132,47</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316 860,00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329 620,00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1.1.А.</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пределах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1.1.Б.</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сверх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320 132,47</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316 860,00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329 620,00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173 104,89</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162 803,10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173 393,63</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147 027,58</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154 056,90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156 226,37</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том числе: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127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1.1.1.</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 xml:space="preserve">население, проживающее </w:t>
            </w:r>
            <w:r w:rsidRPr="00303D5C">
              <w:rPr>
                <w:color w:val="000000"/>
                <w:sz w:val="20"/>
                <w:szCs w:val="20"/>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102 137,13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62 731,83</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83 535,88</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1.1.1.А.</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пределах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1.1.1.Б.</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сверх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102 137,13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62 731,83</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83 535,88</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54 797,33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32 237,96</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44 445,53</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47 339,80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30 493,87</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39 090,35</w:t>
            </w:r>
          </w:p>
        </w:tc>
      </w:tr>
      <w:tr w:rsidR="00F157C2" w:rsidRPr="00303D5C" w:rsidTr="00303D5C">
        <w:trPr>
          <w:trHeight w:val="102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1.1.2.</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 xml:space="preserve">население, проживающее </w:t>
            </w:r>
            <w:r w:rsidRPr="00303D5C">
              <w:rPr>
                <w:color w:val="000000"/>
                <w:sz w:val="20"/>
                <w:szCs w:val="20"/>
              </w:rPr>
              <w:br/>
              <w:t>в городских населенных пунктах в домах, оборудованных в установленном порядке стационарными электроплитами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1.1.2.А.</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пределах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lastRenderedPageBreak/>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1.1.2.Б.</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сверх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127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1.1.3.</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 xml:space="preserve">население, проживающее </w:t>
            </w:r>
            <w:r w:rsidRPr="00303D5C">
              <w:rPr>
                <w:color w:val="000000"/>
                <w:sz w:val="20"/>
                <w:szCs w:val="20"/>
              </w:rPr>
              <w:br/>
              <w:t>в городских населенных пунктах в домах, оборудованных в установленном порядке стационарными электроотопительными установками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1.1.3.А.</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пределах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1.1.3.Б.</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сверх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127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1.1.4.</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 xml:space="preserve">население, проживающее </w:t>
            </w:r>
            <w:r w:rsidRPr="00303D5C">
              <w:rPr>
                <w:color w:val="000000"/>
                <w:sz w:val="20"/>
                <w:szCs w:val="20"/>
              </w:rPr>
              <w:br/>
              <w:t>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186 187,83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231 688,13</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205 621,05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1.1.4.А.</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пределах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1.1.4.Б.</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сверх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186 187,83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231 688,13</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205 621,05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101 205,29</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119 048,75</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107 820,50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84 982,54</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112 639,38</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97 800,56</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1.1.5.</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 xml:space="preserve">население, проживающее </w:t>
            </w:r>
            <w:r w:rsidRPr="00303D5C">
              <w:rPr>
                <w:color w:val="000000"/>
                <w:sz w:val="20"/>
                <w:szCs w:val="20"/>
              </w:rPr>
              <w:br/>
              <w:t>в сельских населенных пунктах</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1 823,63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17 022,47</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10 107,31</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1.1.5.А.</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пределах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1.1.5.Б.</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сверх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1 823,63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17 022,47</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10 107,31</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1 100,29</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8 746,69</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5 108,50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723,33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8 275,78</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4 998,82</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1.1.6.</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потребители, приравненные к населению, - всего</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lastRenderedPageBreak/>
              <w:t>1.1.6.А.</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пределах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1.1.6.Б.</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сверх социальной нормы</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29 983,88</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5 417,56</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30 355,75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16 001,97</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2 769,69</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16 019,11</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13 981,91</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2 647,87</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14 336,64</w:t>
            </w:r>
          </w:p>
        </w:tc>
      </w:tr>
      <w:tr w:rsidR="00F157C2" w:rsidRPr="00303D5C" w:rsidTr="00303D5C">
        <w:trPr>
          <w:trHeight w:val="127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1.2.</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351 715,79</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380 933,50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345 155,47</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менее 150 кВт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169 667,13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184 991,40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149 213,37</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90 173,32</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103 999,30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69 029,96</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79 493,81</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80 992,10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80 183,41</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от 150 кВт до 670 кВт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86 915,01</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94 419,80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94 419,80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46 059,09</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54 195,60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40 224,20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40 855,92</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40 224,20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54 195,60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от 670 кВт до 10 МВт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93 879,77</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100 206,70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100 206,70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48 993,38</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57 332,70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71 304,10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44 886,38</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42 874,00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28 902,60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не менее 10 МВт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1 253,88</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1 315,60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1 315,60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первое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618,42</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822,20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822,20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второе полугодие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635,46</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493,40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493,40</w:t>
            </w:r>
          </w:p>
        </w:tc>
      </w:tr>
      <w:tr w:rsidR="00F157C2" w:rsidRPr="00303D5C" w:rsidTr="00303D5C">
        <w:trPr>
          <w:trHeight w:val="102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1.3.</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сетевым организациям, приобретающим электрическую энергию в целях компенсации потерь электрической энергии в сетях</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156 447,51</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114 149,50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122 141,41</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первом полугодии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73 298,39</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46 804,20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57 396,90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во втором полугодии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кВт·</w:t>
            </w:r>
            <w:proofErr w:type="gramStart"/>
            <w:r w:rsidRPr="00303D5C">
              <w:rPr>
                <w:color w:val="000000"/>
                <w:sz w:val="20"/>
                <w:szCs w:val="20"/>
              </w:rPr>
              <w:t>ч</w:t>
            </w:r>
            <w:proofErr w:type="gramEnd"/>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83 149,12</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67 345,30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64 744,51</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2.</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 xml:space="preserve">Количество обслуживаемых договоров - всего </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117,25</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117,25</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117,25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том числе: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2.1.</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 населением и приравненными к нему категориями потребителей</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114,31</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114,31</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114,31</w:t>
            </w:r>
          </w:p>
        </w:tc>
      </w:tr>
      <w:tr w:rsidR="00F157C2" w:rsidRPr="00303D5C" w:rsidTr="00303D5C">
        <w:trPr>
          <w:trHeight w:val="127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lastRenderedPageBreak/>
              <w:t>2.2.</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2,95</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2,95</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2,95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менее 150 кВт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2,56</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2,56</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2,56</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от 150 кВт до 670 кВт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0,25</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0,25</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0,25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от 670 кВт до 10 МВт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0,13</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0,13</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0,13</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не менее 10 МВт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0,001</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0,001</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0,001</w:t>
            </w:r>
          </w:p>
        </w:tc>
      </w:tr>
      <w:tr w:rsidR="00F157C2" w:rsidRPr="00303D5C" w:rsidTr="00303D5C">
        <w:trPr>
          <w:trHeight w:val="102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2.3.</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 сетевыми организациями, приобретающими электрическую энергию в целях компенсации потерь электрической энергии в сетях</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4,00</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3.</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 xml:space="preserve">Количество точек учета по обслуживаемым договорам - всего </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127 827,00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127 827,00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127 827,00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в том числе:</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3.1.</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по населению и приравненными к нему категориями потребителей</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117 810,00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117 810,00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117 810,00</w:t>
            </w:r>
          </w:p>
        </w:tc>
      </w:tr>
      <w:tr w:rsidR="00F157C2" w:rsidRPr="00303D5C" w:rsidTr="00303D5C">
        <w:trPr>
          <w:trHeight w:val="127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3.2.</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10 017,00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10 017,00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10 017,00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менее 150 кВт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13 162,00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13 162,00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13 162,00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от 150 кВт до 670 кВт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561,00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561,00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561,00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от 670 кВт до 10 МВт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124,00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124,00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124,00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не менее 10 МВт</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4.</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Количество точек подключения</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штук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13 852,00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13 852,00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13 852,00</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5.</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Необходимая валовая выручка гарантирующего поставщика</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рублей</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98 834,47</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102 739,80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211 050,58</w:t>
            </w:r>
          </w:p>
        </w:tc>
      </w:tr>
      <w:tr w:rsidR="00F157C2" w:rsidRPr="00303D5C" w:rsidTr="00303D5C">
        <w:trPr>
          <w:trHeight w:val="76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6.</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Показатели численности персонала и фонда оплаты труда по регулируемым видам деятельности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6.1.</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Среднесписочная численность персонала</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человек</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104,50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113,70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113,70</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6.2.</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Среднемесячная заработная плата на одного работника</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рублей на человека</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28,72</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27,82</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32,49</w:t>
            </w:r>
          </w:p>
        </w:tc>
      </w:tr>
      <w:tr w:rsidR="00F157C2" w:rsidRPr="00303D5C" w:rsidTr="00303D5C">
        <w:trPr>
          <w:trHeight w:val="76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lastRenderedPageBreak/>
              <w:t>6.3.</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Реквизиты отраслевого тарифного соглашения (дата утверждения, срок действия)</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sz w:val="20"/>
                <w:szCs w:val="20"/>
              </w:rPr>
            </w:pPr>
            <w:r w:rsidRPr="00303D5C">
              <w:rPr>
                <w:sz w:val="20"/>
                <w:szCs w:val="20"/>
              </w:rPr>
              <w:t>№230/14-16 от 01.10.2013г.</w:t>
            </w:r>
          </w:p>
        </w:tc>
        <w:tc>
          <w:tcPr>
            <w:tcW w:w="1842"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sz w:val="20"/>
                <w:szCs w:val="20"/>
              </w:rPr>
            </w:pPr>
            <w:r w:rsidRPr="00303D5C">
              <w:rPr>
                <w:sz w:val="20"/>
                <w:szCs w:val="20"/>
              </w:rPr>
              <w:t>№230/14-16 от 01.10.2013г.</w:t>
            </w:r>
          </w:p>
        </w:tc>
        <w:tc>
          <w:tcPr>
            <w:tcW w:w="2977"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sz w:val="20"/>
                <w:szCs w:val="20"/>
              </w:rPr>
            </w:pPr>
            <w:r w:rsidRPr="00303D5C">
              <w:rPr>
                <w:sz w:val="20"/>
                <w:szCs w:val="20"/>
              </w:rPr>
              <w:t>№230/14-16 от 01.10.2013г.</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7.</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Проценты по обслуживанию кредитов</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рублей</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4 063,76</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7 658,30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11 158,00</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8.</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Резерв по сомнительным долгам</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рублей</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2 777,60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7 618,00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58 806,75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9.</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Необходимые расходы из прибыли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рублей</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998,65</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623,20</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13 824,15</w:t>
            </w:r>
          </w:p>
        </w:tc>
      </w:tr>
      <w:tr w:rsidR="00F157C2" w:rsidRPr="00303D5C" w:rsidTr="00303D5C">
        <w:trPr>
          <w:trHeight w:val="255"/>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10.</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Чистая прибыль (убыток)</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тыс. рублей</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49 156,70</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10 000,00</w:t>
            </w:r>
          </w:p>
        </w:tc>
      </w:tr>
      <w:tr w:rsidR="00F157C2" w:rsidRPr="00303D5C" w:rsidTr="00303D5C">
        <w:trPr>
          <w:trHeight w:val="51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11.</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Рентабельность продаж (величина прибыли от продаж в каждом рубле выручки)</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процент</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1020"/>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12.</w:t>
            </w:r>
          </w:p>
        </w:tc>
        <w:tc>
          <w:tcPr>
            <w:tcW w:w="3685"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rPr>
                <w:color w:val="000000"/>
                <w:sz w:val="20"/>
                <w:szCs w:val="20"/>
              </w:rPr>
            </w:pPr>
            <w:r w:rsidRPr="00303D5C">
              <w:rPr>
                <w:color w:val="000000"/>
                <w:sz w:val="20"/>
                <w:szCs w:val="20"/>
              </w:rPr>
              <w:t>Реквизиты инвестиционной программы (кем утверждена, дата утверждения, номер приказа или решения, электронный адрес размещения)</w:t>
            </w:r>
          </w:p>
        </w:tc>
        <w:tc>
          <w:tcPr>
            <w:tcW w:w="1843" w:type="dxa"/>
            <w:tcBorders>
              <w:top w:val="single" w:sz="4" w:space="0" w:color="auto"/>
              <w:left w:val="nil"/>
              <w:bottom w:val="single" w:sz="4" w:space="0" w:color="auto"/>
              <w:right w:val="single" w:sz="4" w:space="0" w:color="auto"/>
            </w:tcBorders>
            <w:shd w:val="clear" w:color="auto" w:fill="auto"/>
            <w:hideMark/>
          </w:tcPr>
          <w:p w:rsidR="00F157C2" w:rsidRPr="00303D5C" w:rsidRDefault="00F157C2" w:rsidP="00F157C2">
            <w:pPr>
              <w:jc w:val="center"/>
              <w:rPr>
                <w:color w:val="000000"/>
                <w:sz w:val="20"/>
                <w:szCs w:val="20"/>
              </w:rPr>
            </w:pPr>
            <w:r w:rsidRPr="00303D5C">
              <w:rPr>
                <w:color w:val="000000"/>
                <w:sz w:val="20"/>
                <w:szCs w:val="20"/>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c>
          <w:tcPr>
            <w:tcW w:w="2977" w:type="dxa"/>
            <w:tcBorders>
              <w:top w:val="single" w:sz="4" w:space="0" w:color="auto"/>
              <w:left w:val="nil"/>
              <w:bottom w:val="single" w:sz="4" w:space="0" w:color="auto"/>
              <w:right w:val="single" w:sz="4" w:space="0" w:color="auto"/>
            </w:tcBorders>
            <w:shd w:val="clear" w:color="auto" w:fill="auto"/>
            <w:noWrap/>
            <w:hideMark/>
          </w:tcPr>
          <w:p w:rsidR="00F157C2" w:rsidRPr="00303D5C" w:rsidRDefault="00F157C2" w:rsidP="00F157C2">
            <w:pPr>
              <w:jc w:val="right"/>
              <w:rPr>
                <w:sz w:val="20"/>
                <w:szCs w:val="20"/>
              </w:rPr>
            </w:pPr>
            <w:r w:rsidRPr="00303D5C">
              <w:rPr>
                <w:sz w:val="20"/>
                <w:szCs w:val="20"/>
              </w:rPr>
              <w:t> </w:t>
            </w:r>
          </w:p>
        </w:tc>
      </w:tr>
      <w:tr w:rsidR="00F157C2" w:rsidRPr="00303D5C" w:rsidTr="00303D5C">
        <w:trPr>
          <w:trHeight w:val="345"/>
        </w:trPr>
        <w:tc>
          <w:tcPr>
            <w:tcW w:w="10078" w:type="dxa"/>
            <w:gridSpan w:val="4"/>
            <w:tcBorders>
              <w:top w:val="nil"/>
              <w:left w:val="nil"/>
              <w:bottom w:val="nil"/>
              <w:right w:val="nil"/>
            </w:tcBorders>
            <w:shd w:val="clear" w:color="auto" w:fill="auto"/>
            <w:noWrap/>
            <w:vAlign w:val="bottom"/>
            <w:hideMark/>
          </w:tcPr>
          <w:p w:rsidR="00F157C2" w:rsidRPr="00303D5C" w:rsidRDefault="00F157C2" w:rsidP="00F157C2">
            <w:pPr>
              <w:rPr>
                <w:color w:val="FFFFFF"/>
                <w:sz w:val="20"/>
                <w:szCs w:val="20"/>
              </w:rPr>
            </w:pPr>
            <w:r w:rsidRPr="00303D5C">
              <w:rPr>
                <w:color w:val="FFFFFF"/>
                <w:sz w:val="20"/>
                <w:szCs w:val="20"/>
              </w:rPr>
              <w:t>_____</w:t>
            </w:r>
            <w:r w:rsidRPr="00303D5C">
              <w:rPr>
                <w:sz w:val="20"/>
                <w:szCs w:val="20"/>
              </w:rPr>
              <w:t>*</w:t>
            </w:r>
            <w:proofErr w:type="spellStart"/>
            <w:r w:rsidRPr="00303D5C">
              <w:rPr>
                <w:color w:val="FFFFFF"/>
                <w:sz w:val="20"/>
                <w:szCs w:val="20"/>
              </w:rPr>
              <w:t>_</w:t>
            </w:r>
            <w:r w:rsidRPr="00303D5C">
              <w:rPr>
                <w:sz w:val="20"/>
                <w:szCs w:val="20"/>
              </w:rPr>
              <w:t>Базовый</w:t>
            </w:r>
            <w:proofErr w:type="spellEnd"/>
            <w:r w:rsidRPr="00303D5C">
              <w:rPr>
                <w:sz w:val="20"/>
                <w:szCs w:val="20"/>
              </w:rPr>
              <w:t xml:space="preserve"> период - год, предшествующий расчетному периоду регулирования.</w:t>
            </w:r>
          </w:p>
        </w:tc>
        <w:tc>
          <w:tcPr>
            <w:tcW w:w="1842" w:type="dxa"/>
            <w:tcBorders>
              <w:top w:val="nil"/>
              <w:left w:val="nil"/>
              <w:bottom w:val="nil"/>
              <w:right w:val="nil"/>
            </w:tcBorders>
            <w:shd w:val="clear" w:color="auto" w:fill="auto"/>
            <w:noWrap/>
            <w:vAlign w:val="bottom"/>
            <w:hideMark/>
          </w:tcPr>
          <w:p w:rsidR="00F157C2" w:rsidRPr="00303D5C" w:rsidRDefault="00F157C2" w:rsidP="00F157C2">
            <w:pPr>
              <w:rPr>
                <w:sz w:val="20"/>
                <w:szCs w:val="20"/>
              </w:rPr>
            </w:pPr>
          </w:p>
        </w:tc>
        <w:tc>
          <w:tcPr>
            <w:tcW w:w="2977" w:type="dxa"/>
            <w:tcBorders>
              <w:top w:val="nil"/>
              <w:left w:val="nil"/>
              <w:bottom w:val="nil"/>
              <w:right w:val="nil"/>
            </w:tcBorders>
            <w:shd w:val="clear" w:color="auto" w:fill="auto"/>
            <w:noWrap/>
            <w:vAlign w:val="bottom"/>
            <w:hideMark/>
          </w:tcPr>
          <w:p w:rsidR="00F157C2" w:rsidRPr="00303D5C" w:rsidRDefault="00F157C2" w:rsidP="00F157C2">
            <w:pPr>
              <w:rPr>
                <w:sz w:val="20"/>
                <w:szCs w:val="20"/>
              </w:rPr>
            </w:pPr>
          </w:p>
        </w:tc>
      </w:tr>
    </w:tbl>
    <w:p w:rsidR="00303D5C" w:rsidRDefault="00303D5C" w:rsidP="00303D5C">
      <w:pPr>
        <w:ind w:firstLine="851"/>
        <w:jc w:val="right"/>
        <w:rPr>
          <w:sz w:val="16"/>
          <w:szCs w:val="16"/>
        </w:rPr>
      </w:pPr>
    </w:p>
    <w:p w:rsidR="00223A2B" w:rsidRPr="00C33720" w:rsidRDefault="00223A2B" w:rsidP="00303D5C">
      <w:pPr>
        <w:ind w:firstLine="851"/>
        <w:jc w:val="right"/>
        <w:rPr>
          <w:sz w:val="16"/>
          <w:szCs w:val="16"/>
        </w:rPr>
      </w:pPr>
    </w:p>
    <w:p w:rsidR="00303D5C" w:rsidRDefault="00303D5C" w:rsidP="00303D5C">
      <w:pPr>
        <w:ind w:firstLine="851"/>
        <w:jc w:val="right"/>
        <w:rPr>
          <w:sz w:val="16"/>
          <w:szCs w:val="16"/>
        </w:rPr>
      </w:pPr>
      <w:r w:rsidRPr="002C1236">
        <w:rPr>
          <w:sz w:val="16"/>
          <w:szCs w:val="16"/>
        </w:rPr>
        <w:t>Приложение № 5 к предложению о размере цен (тарифов), долгосрочных параметров регулирования</w:t>
      </w:r>
    </w:p>
    <w:p w:rsidR="00303D5C" w:rsidRDefault="00303D5C" w:rsidP="00303D5C">
      <w:pPr>
        <w:jc w:val="center"/>
        <w:rPr>
          <w:sz w:val="22"/>
          <w:szCs w:val="22"/>
        </w:rPr>
      </w:pPr>
    </w:p>
    <w:p w:rsidR="00303D5C" w:rsidRPr="00CF6575" w:rsidRDefault="00303D5C" w:rsidP="00303D5C">
      <w:pPr>
        <w:jc w:val="center"/>
        <w:rPr>
          <w:sz w:val="22"/>
          <w:szCs w:val="22"/>
        </w:rPr>
      </w:pPr>
      <w:r w:rsidRPr="002C1236">
        <w:rPr>
          <w:sz w:val="22"/>
          <w:szCs w:val="22"/>
        </w:rPr>
        <w:t>Раздел 3. Цены (тарифы) по регулируемым видам деятельности организации</w:t>
      </w:r>
    </w:p>
    <w:p w:rsidR="00303D5C" w:rsidRPr="00CF6575" w:rsidRDefault="00303D5C" w:rsidP="00303D5C">
      <w:pPr>
        <w:jc w:val="center"/>
        <w:rPr>
          <w:sz w:val="22"/>
          <w:szCs w:val="22"/>
        </w:rPr>
      </w:pPr>
    </w:p>
    <w:tbl>
      <w:tblPr>
        <w:tblW w:w="148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7"/>
        <w:gridCol w:w="3618"/>
        <w:gridCol w:w="1792"/>
        <w:gridCol w:w="1379"/>
        <w:gridCol w:w="1315"/>
        <w:gridCol w:w="1275"/>
        <w:gridCol w:w="1418"/>
        <w:gridCol w:w="1417"/>
        <w:gridCol w:w="1276"/>
      </w:tblGrid>
      <w:tr w:rsidR="00303D5C" w:rsidRPr="00303D5C" w:rsidTr="007A3C59">
        <w:trPr>
          <w:trHeight w:val="1215"/>
        </w:trPr>
        <w:tc>
          <w:tcPr>
            <w:tcW w:w="1407" w:type="dxa"/>
            <w:vMerge w:val="restart"/>
            <w:shd w:val="clear" w:color="auto" w:fill="auto"/>
            <w:vAlign w:val="center"/>
            <w:hideMark/>
          </w:tcPr>
          <w:p w:rsidR="00303D5C" w:rsidRPr="00303D5C" w:rsidRDefault="00303D5C" w:rsidP="00303D5C">
            <w:pPr>
              <w:jc w:val="center"/>
              <w:rPr>
                <w:color w:val="000000"/>
                <w:sz w:val="20"/>
                <w:szCs w:val="20"/>
              </w:rPr>
            </w:pPr>
            <w:bookmarkStart w:id="2" w:name="RANGE!A8:F45"/>
            <w:r w:rsidRPr="00303D5C">
              <w:rPr>
                <w:color w:val="000000"/>
                <w:sz w:val="20"/>
                <w:szCs w:val="20"/>
              </w:rPr>
              <w:t xml:space="preserve">№ </w:t>
            </w:r>
            <w:r w:rsidRPr="00303D5C">
              <w:rPr>
                <w:color w:val="000000"/>
                <w:sz w:val="20"/>
                <w:szCs w:val="20"/>
              </w:rPr>
              <w:br/>
            </w:r>
            <w:proofErr w:type="spellStart"/>
            <w:proofErr w:type="gramStart"/>
            <w:r w:rsidRPr="00303D5C">
              <w:rPr>
                <w:color w:val="000000"/>
                <w:sz w:val="20"/>
                <w:szCs w:val="20"/>
              </w:rPr>
              <w:t>п</w:t>
            </w:r>
            <w:proofErr w:type="spellEnd"/>
            <w:proofErr w:type="gramEnd"/>
            <w:r w:rsidRPr="00303D5C">
              <w:rPr>
                <w:color w:val="000000"/>
                <w:sz w:val="20"/>
                <w:szCs w:val="20"/>
              </w:rPr>
              <w:t>/</w:t>
            </w:r>
            <w:proofErr w:type="spellStart"/>
            <w:r w:rsidRPr="00303D5C">
              <w:rPr>
                <w:color w:val="000000"/>
                <w:sz w:val="20"/>
                <w:szCs w:val="20"/>
              </w:rPr>
              <w:t>п</w:t>
            </w:r>
            <w:bookmarkEnd w:id="2"/>
            <w:proofErr w:type="spellEnd"/>
          </w:p>
        </w:tc>
        <w:tc>
          <w:tcPr>
            <w:tcW w:w="3618" w:type="dxa"/>
            <w:vMerge w:val="restart"/>
            <w:shd w:val="clear" w:color="auto" w:fill="auto"/>
            <w:vAlign w:val="center"/>
            <w:hideMark/>
          </w:tcPr>
          <w:p w:rsidR="00303D5C" w:rsidRPr="00303D5C" w:rsidRDefault="00303D5C" w:rsidP="00303D5C">
            <w:pPr>
              <w:ind w:left="34" w:hanging="34"/>
              <w:jc w:val="center"/>
              <w:rPr>
                <w:color w:val="000000"/>
                <w:sz w:val="20"/>
                <w:szCs w:val="20"/>
              </w:rPr>
            </w:pPr>
            <w:r w:rsidRPr="00303D5C">
              <w:rPr>
                <w:color w:val="000000"/>
                <w:sz w:val="20"/>
                <w:szCs w:val="20"/>
              </w:rPr>
              <w:t>Наименование показателей</w:t>
            </w:r>
          </w:p>
        </w:tc>
        <w:tc>
          <w:tcPr>
            <w:tcW w:w="1792" w:type="dxa"/>
            <w:vMerge w:val="restart"/>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Единица изменения</w:t>
            </w:r>
          </w:p>
        </w:tc>
        <w:tc>
          <w:tcPr>
            <w:tcW w:w="2694" w:type="dxa"/>
            <w:gridSpan w:val="2"/>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Фактические показатели за год, предшествующий базовому периоду</w:t>
            </w:r>
          </w:p>
        </w:tc>
        <w:tc>
          <w:tcPr>
            <w:tcW w:w="2693" w:type="dxa"/>
            <w:gridSpan w:val="2"/>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Показатели, утвержденные на базовый период *</w:t>
            </w:r>
          </w:p>
        </w:tc>
        <w:tc>
          <w:tcPr>
            <w:tcW w:w="2693" w:type="dxa"/>
            <w:gridSpan w:val="2"/>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Предложения на расчетный период регулирования</w:t>
            </w:r>
          </w:p>
        </w:tc>
      </w:tr>
      <w:tr w:rsidR="00303D5C" w:rsidRPr="00303D5C" w:rsidTr="007A3C59">
        <w:trPr>
          <w:trHeight w:val="600"/>
        </w:trPr>
        <w:tc>
          <w:tcPr>
            <w:tcW w:w="1407" w:type="dxa"/>
            <w:vMerge/>
            <w:vAlign w:val="center"/>
            <w:hideMark/>
          </w:tcPr>
          <w:p w:rsidR="00303D5C" w:rsidRPr="00303D5C" w:rsidRDefault="00303D5C" w:rsidP="00303D5C">
            <w:pPr>
              <w:rPr>
                <w:color w:val="000000"/>
                <w:sz w:val="20"/>
                <w:szCs w:val="20"/>
              </w:rPr>
            </w:pPr>
          </w:p>
        </w:tc>
        <w:tc>
          <w:tcPr>
            <w:tcW w:w="3618" w:type="dxa"/>
            <w:vMerge/>
            <w:vAlign w:val="center"/>
            <w:hideMark/>
          </w:tcPr>
          <w:p w:rsidR="00303D5C" w:rsidRPr="00303D5C" w:rsidRDefault="00303D5C" w:rsidP="00303D5C">
            <w:pPr>
              <w:rPr>
                <w:color w:val="000000"/>
                <w:sz w:val="20"/>
                <w:szCs w:val="20"/>
              </w:rPr>
            </w:pPr>
          </w:p>
        </w:tc>
        <w:tc>
          <w:tcPr>
            <w:tcW w:w="1792" w:type="dxa"/>
            <w:vMerge/>
            <w:vAlign w:val="center"/>
            <w:hideMark/>
          </w:tcPr>
          <w:p w:rsidR="00303D5C" w:rsidRPr="00303D5C" w:rsidRDefault="00303D5C" w:rsidP="00303D5C">
            <w:pPr>
              <w:rPr>
                <w:color w:val="000000"/>
                <w:sz w:val="20"/>
                <w:szCs w:val="20"/>
              </w:rPr>
            </w:pPr>
          </w:p>
        </w:tc>
        <w:tc>
          <w:tcPr>
            <w:tcW w:w="1379" w:type="dxa"/>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 xml:space="preserve">1-е </w:t>
            </w:r>
            <w:proofErr w:type="spellStart"/>
            <w:proofErr w:type="gramStart"/>
            <w:r w:rsidRPr="00303D5C">
              <w:rPr>
                <w:color w:val="000000"/>
                <w:sz w:val="20"/>
                <w:szCs w:val="20"/>
              </w:rPr>
              <w:t>полу-годие</w:t>
            </w:r>
            <w:proofErr w:type="spellEnd"/>
            <w:proofErr w:type="gramEnd"/>
          </w:p>
        </w:tc>
        <w:tc>
          <w:tcPr>
            <w:tcW w:w="1315" w:type="dxa"/>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 xml:space="preserve">2-е </w:t>
            </w:r>
            <w:proofErr w:type="spellStart"/>
            <w:proofErr w:type="gramStart"/>
            <w:r w:rsidRPr="00303D5C">
              <w:rPr>
                <w:color w:val="000000"/>
                <w:sz w:val="20"/>
                <w:szCs w:val="20"/>
              </w:rPr>
              <w:t>полу-годие</w:t>
            </w:r>
            <w:proofErr w:type="spellEnd"/>
            <w:proofErr w:type="gramEnd"/>
          </w:p>
        </w:tc>
        <w:tc>
          <w:tcPr>
            <w:tcW w:w="1275" w:type="dxa"/>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 xml:space="preserve">1-е </w:t>
            </w:r>
            <w:proofErr w:type="spellStart"/>
            <w:proofErr w:type="gramStart"/>
            <w:r w:rsidRPr="00303D5C">
              <w:rPr>
                <w:color w:val="000000"/>
                <w:sz w:val="20"/>
                <w:szCs w:val="20"/>
              </w:rPr>
              <w:t>полу-годие</w:t>
            </w:r>
            <w:proofErr w:type="spellEnd"/>
            <w:proofErr w:type="gramEnd"/>
          </w:p>
        </w:tc>
        <w:tc>
          <w:tcPr>
            <w:tcW w:w="1418" w:type="dxa"/>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 xml:space="preserve">2-е </w:t>
            </w:r>
            <w:proofErr w:type="spellStart"/>
            <w:proofErr w:type="gramStart"/>
            <w:r w:rsidRPr="00303D5C">
              <w:rPr>
                <w:color w:val="000000"/>
                <w:sz w:val="20"/>
                <w:szCs w:val="20"/>
              </w:rPr>
              <w:t>полу-годие</w:t>
            </w:r>
            <w:proofErr w:type="spellEnd"/>
            <w:proofErr w:type="gramEnd"/>
          </w:p>
        </w:tc>
        <w:tc>
          <w:tcPr>
            <w:tcW w:w="1417" w:type="dxa"/>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 xml:space="preserve">1-е </w:t>
            </w:r>
            <w:proofErr w:type="spellStart"/>
            <w:proofErr w:type="gramStart"/>
            <w:r w:rsidRPr="00303D5C">
              <w:rPr>
                <w:color w:val="000000"/>
                <w:sz w:val="20"/>
                <w:szCs w:val="20"/>
              </w:rPr>
              <w:t>полу-годие</w:t>
            </w:r>
            <w:proofErr w:type="spellEnd"/>
            <w:proofErr w:type="gramEnd"/>
          </w:p>
        </w:tc>
        <w:tc>
          <w:tcPr>
            <w:tcW w:w="1276" w:type="dxa"/>
            <w:shd w:val="clear" w:color="auto" w:fill="auto"/>
            <w:vAlign w:val="center"/>
            <w:hideMark/>
          </w:tcPr>
          <w:p w:rsidR="00303D5C" w:rsidRPr="00303D5C" w:rsidRDefault="00303D5C" w:rsidP="00303D5C">
            <w:pPr>
              <w:jc w:val="center"/>
              <w:rPr>
                <w:color w:val="000000"/>
                <w:sz w:val="20"/>
                <w:szCs w:val="20"/>
              </w:rPr>
            </w:pPr>
            <w:r w:rsidRPr="00303D5C">
              <w:rPr>
                <w:color w:val="000000"/>
                <w:sz w:val="20"/>
                <w:szCs w:val="20"/>
              </w:rPr>
              <w:t xml:space="preserve">2-е </w:t>
            </w:r>
            <w:proofErr w:type="spellStart"/>
            <w:proofErr w:type="gramStart"/>
            <w:r w:rsidRPr="00303D5C">
              <w:rPr>
                <w:color w:val="000000"/>
                <w:sz w:val="20"/>
                <w:szCs w:val="20"/>
              </w:rPr>
              <w:t>полу-годие</w:t>
            </w:r>
            <w:proofErr w:type="spellEnd"/>
            <w:proofErr w:type="gramEnd"/>
          </w:p>
        </w:tc>
      </w:tr>
      <w:tr w:rsidR="00303D5C" w:rsidRPr="00303D5C" w:rsidTr="007A3C59">
        <w:trPr>
          <w:trHeight w:val="255"/>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3.</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Для гарантирующих поставщиков</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 </w:t>
            </w:r>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 </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 </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 </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 </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 </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 </w:t>
            </w:r>
          </w:p>
        </w:tc>
      </w:tr>
      <w:tr w:rsidR="00303D5C" w:rsidRPr="00303D5C" w:rsidTr="007A3C59">
        <w:trPr>
          <w:trHeight w:val="765"/>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3.1.</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величина сбытовой надбавки для тарифной группы потребителей "население" и приравненных к нему категорий потребителей</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руб./МВт·</w:t>
            </w:r>
            <w:proofErr w:type="gramStart"/>
            <w:r w:rsidRPr="00303D5C">
              <w:rPr>
                <w:color w:val="000000"/>
                <w:sz w:val="20"/>
                <w:szCs w:val="20"/>
              </w:rPr>
              <w:t>ч</w:t>
            </w:r>
            <w:proofErr w:type="gramEnd"/>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240,00</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170,00</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170,00</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110,00</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110,00</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840,00</w:t>
            </w:r>
          </w:p>
        </w:tc>
      </w:tr>
      <w:tr w:rsidR="00303D5C" w:rsidRPr="00303D5C" w:rsidTr="007A3C59">
        <w:trPr>
          <w:trHeight w:val="1020"/>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3.2.</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руб./МВт·</w:t>
            </w:r>
            <w:proofErr w:type="gramStart"/>
            <w:r w:rsidRPr="00303D5C">
              <w:rPr>
                <w:color w:val="000000"/>
                <w:sz w:val="20"/>
                <w:szCs w:val="20"/>
              </w:rPr>
              <w:t>ч</w:t>
            </w:r>
            <w:proofErr w:type="gramEnd"/>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292,20</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1,00</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1,00</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1,00</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1,00</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3,00</w:t>
            </w:r>
          </w:p>
        </w:tc>
      </w:tr>
      <w:tr w:rsidR="00303D5C" w:rsidRPr="00303D5C" w:rsidTr="007A3C59">
        <w:trPr>
          <w:trHeight w:val="255"/>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lastRenderedPageBreak/>
              <w:t>3.3.</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доходность продаж для прочих потребителей:</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процент</w:t>
            </w:r>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15,45%</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15,39%</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15,69%</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16,03%</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15,15%</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16,78%</w:t>
            </w:r>
          </w:p>
        </w:tc>
      </w:tr>
      <w:tr w:rsidR="00303D5C" w:rsidRPr="00303D5C" w:rsidTr="007A3C59">
        <w:trPr>
          <w:trHeight w:val="255"/>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 </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менее 150 кВт</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процент</w:t>
            </w:r>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18,20%</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17,87%</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17,87%</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18,20%</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18,20%</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18,53%</w:t>
            </w:r>
          </w:p>
        </w:tc>
      </w:tr>
      <w:tr w:rsidR="00303D5C" w:rsidRPr="00303D5C" w:rsidTr="007A3C59">
        <w:trPr>
          <w:trHeight w:val="255"/>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 </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от 150 кВт до 670 кВт</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процент</w:t>
            </w:r>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16,73%</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16,42%</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16,42%</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16,73%</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16,73%</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17,03%</w:t>
            </w:r>
          </w:p>
        </w:tc>
      </w:tr>
      <w:tr w:rsidR="00303D5C" w:rsidRPr="00303D5C" w:rsidTr="007A3C59">
        <w:trPr>
          <w:trHeight w:val="255"/>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 </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от 670 кВт до 10 МВт</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процент</w:t>
            </w:r>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11,40%</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11,19%</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11,19%</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11,40%</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11,40%</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11,60%</w:t>
            </w:r>
          </w:p>
        </w:tc>
      </w:tr>
      <w:tr w:rsidR="00303D5C" w:rsidRPr="00303D5C" w:rsidTr="007A3C59">
        <w:trPr>
          <w:trHeight w:val="255"/>
        </w:trPr>
        <w:tc>
          <w:tcPr>
            <w:tcW w:w="1407"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 </w:t>
            </w:r>
          </w:p>
        </w:tc>
        <w:tc>
          <w:tcPr>
            <w:tcW w:w="3618" w:type="dxa"/>
            <w:shd w:val="clear" w:color="auto" w:fill="auto"/>
            <w:hideMark/>
          </w:tcPr>
          <w:p w:rsidR="00303D5C" w:rsidRPr="00303D5C" w:rsidRDefault="00303D5C" w:rsidP="00303D5C">
            <w:pPr>
              <w:rPr>
                <w:color w:val="000000"/>
                <w:sz w:val="20"/>
                <w:szCs w:val="20"/>
              </w:rPr>
            </w:pPr>
            <w:r w:rsidRPr="00303D5C">
              <w:rPr>
                <w:color w:val="000000"/>
                <w:sz w:val="20"/>
                <w:szCs w:val="20"/>
              </w:rPr>
              <w:t>не менее 10 МВт</w:t>
            </w:r>
          </w:p>
        </w:tc>
        <w:tc>
          <w:tcPr>
            <w:tcW w:w="1792" w:type="dxa"/>
            <w:shd w:val="clear" w:color="auto" w:fill="auto"/>
            <w:hideMark/>
          </w:tcPr>
          <w:p w:rsidR="00303D5C" w:rsidRPr="00303D5C" w:rsidRDefault="00303D5C" w:rsidP="00303D5C">
            <w:pPr>
              <w:jc w:val="center"/>
              <w:rPr>
                <w:color w:val="000000"/>
                <w:sz w:val="20"/>
                <w:szCs w:val="20"/>
              </w:rPr>
            </w:pPr>
            <w:r w:rsidRPr="00303D5C">
              <w:rPr>
                <w:color w:val="000000"/>
                <w:sz w:val="20"/>
                <w:szCs w:val="20"/>
              </w:rPr>
              <w:t>процент</w:t>
            </w:r>
          </w:p>
        </w:tc>
        <w:tc>
          <w:tcPr>
            <w:tcW w:w="1379"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6,61%</w:t>
            </w:r>
          </w:p>
        </w:tc>
        <w:tc>
          <w:tcPr>
            <w:tcW w:w="131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6,49%</w:t>
            </w:r>
          </w:p>
        </w:tc>
        <w:tc>
          <w:tcPr>
            <w:tcW w:w="1275"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6,49%</w:t>
            </w:r>
          </w:p>
        </w:tc>
        <w:tc>
          <w:tcPr>
            <w:tcW w:w="1418"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6,61%</w:t>
            </w:r>
          </w:p>
        </w:tc>
        <w:tc>
          <w:tcPr>
            <w:tcW w:w="1417"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6,61%</w:t>
            </w:r>
          </w:p>
        </w:tc>
        <w:tc>
          <w:tcPr>
            <w:tcW w:w="1276" w:type="dxa"/>
            <w:shd w:val="clear" w:color="auto" w:fill="auto"/>
            <w:noWrap/>
            <w:hideMark/>
          </w:tcPr>
          <w:p w:rsidR="00303D5C" w:rsidRPr="00303D5C" w:rsidRDefault="00303D5C" w:rsidP="00303D5C">
            <w:pPr>
              <w:jc w:val="center"/>
              <w:rPr>
                <w:color w:val="000000"/>
                <w:sz w:val="20"/>
                <w:szCs w:val="20"/>
              </w:rPr>
            </w:pPr>
            <w:r w:rsidRPr="00303D5C">
              <w:rPr>
                <w:color w:val="000000"/>
                <w:sz w:val="20"/>
                <w:szCs w:val="20"/>
              </w:rPr>
              <w:t>6,73%</w:t>
            </w:r>
          </w:p>
        </w:tc>
      </w:tr>
    </w:tbl>
    <w:p w:rsidR="00F157C2" w:rsidRPr="00F157C2" w:rsidRDefault="00F157C2" w:rsidP="00F157C2">
      <w:pPr>
        <w:jc w:val="center"/>
        <w:rPr>
          <w:sz w:val="22"/>
          <w:szCs w:val="22"/>
        </w:rPr>
      </w:pPr>
    </w:p>
    <w:p w:rsidR="00F157C2" w:rsidRPr="00C33720" w:rsidRDefault="003E36E4" w:rsidP="001823F7">
      <w:pPr>
        <w:ind w:firstLine="851"/>
        <w:jc w:val="both"/>
        <w:rPr>
          <w:sz w:val="20"/>
          <w:szCs w:val="20"/>
        </w:rPr>
      </w:pPr>
      <w:r w:rsidRPr="00303D5C">
        <w:rPr>
          <w:color w:val="FFFFFF"/>
          <w:sz w:val="20"/>
          <w:szCs w:val="20"/>
        </w:rPr>
        <w:t>_____</w:t>
      </w:r>
      <w:r w:rsidRPr="00303D5C">
        <w:rPr>
          <w:sz w:val="20"/>
          <w:szCs w:val="20"/>
        </w:rPr>
        <w:t>*</w:t>
      </w:r>
      <w:proofErr w:type="spellStart"/>
      <w:r w:rsidRPr="00303D5C">
        <w:rPr>
          <w:color w:val="FFFFFF"/>
          <w:sz w:val="20"/>
          <w:szCs w:val="20"/>
        </w:rPr>
        <w:t>_</w:t>
      </w:r>
      <w:r w:rsidRPr="00303D5C">
        <w:rPr>
          <w:sz w:val="20"/>
          <w:szCs w:val="20"/>
        </w:rPr>
        <w:t>Базовый</w:t>
      </w:r>
      <w:proofErr w:type="spellEnd"/>
      <w:r w:rsidRPr="00303D5C">
        <w:rPr>
          <w:sz w:val="20"/>
          <w:szCs w:val="20"/>
        </w:rPr>
        <w:t xml:space="preserve"> период - год, предшествующий расчетному периоду регулирования.</w:t>
      </w:r>
    </w:p>
    <w:p w:rsidR="003E36E4" w:rsidRPr="00C33720" w:rsidRDefault="003E36E4" w:rsidP="001823F7">
      <w:pPr>
        <w:ind w:firstLine="851"/>
        <w:jc w:val="both"/>
        <w:rPr>
          <w:sz w:val="22"/>
          <w:szCs w:val="22"/>
        </w:rPr>
      </w:pPr>
    </w:p>
    <w:p w:rsidR="00B66C12" w:rsidRPr="00803CFF" w:rsidRDefault="00B66C12" w:rsidP="00803CFF">
      <w:pPr>
        <w:widowControl w:val="0"/>
        <w:autoSpaceDE w:val="0"/>
        <w:autoSpaceDN w:val="0"/>
        <w:adjustRightInd w:val="0"/>
        <w:spacing w:line="360" w:lineRule="auto"/>
        <w:ind w:firstLine="540"/>
        <w:jc w:val="both"/>
        <w:rPr>
          <w:sz w:val="22"/>
          <w:szCs w:val="22"/>
        </w:rPr>
      </w:pPr>
      <w:r w:rsidRPr="00803CFF">
        <w:rPr>
          <w:sz w:val="22"/>
          <w:szCs w:val="22"/>
        </w:rPr>
        <w:t>Цена закупки в соответствии с прогнозом средневзвешенной свободной (нерегулируемой) цены на электроэнергию, предоставляемым НП «Совет рынка»: в I полугодие 2016 года по Республике Карелия равен 1036 руб./МВтч, во II полугодие 2016 года 1042 руб./МВтч. За 2016 год 1039 руб./МВтч. Прогнозное значение стоимости мощности за 1 МВт пикового потребления по Республике Карелия составляет на I полугодие 2016 года 410 010 руб./МВт, на II полугодие 2016 года 432 250 руб./МВт. За 2016 год 421 093 руб./МВт.</w:t>
      </w:r>
    </w:p>
    <w:p w:rsidR="00105753" w:rsidRPr="00EE5792" w:rsidRDefault="00105753" w:rsidP="00B66C12">
      <w:pPr>
        <w:ind w:firstLine="851"/>
        <w:rPr>
          <w:color w:val="000000"/>
          <w:sz w:val="22"/>
          <w:szCs w:val="22"/>
        </w:rPr>
      </w:pPr>
    </w:p>
    <w:p w:rsidR="00105753" w:rsidRPr="00EE5792" w:rsidRDefault="00105753" w:rsidP="00355165">
      <w:pPr>
        <w:autoSpaceDE w:val="0"/>
        <w:autoSpaceDN w:val="0"/>
        <w:adjustRightInd w:val="0"/>
        <w:ind w:firstLine="708"/>
        <w:jc w:val="center"/>
        <w:outlineLvl w:val="1"/>
        <w:rPr>
          <w:b/>
          <w:color w:val="000000"/>
          <w:sz w:val="22"/>
          <w:szCs w:val="22"/>
        </w:rPr>
      </w:pPr>
      <w:r w:rsidRPr="00EE5792">
        <w:rPr>
          <w:b/>
          <w:color w:val="000000"/>
          <w:sz w:val="22"/>
          <w:szCs w:val="22"/>
        </w:rPr>
        <w:t>Тарифы на электрическую энергию, поставляемую населению и потребителям, приравненным к категории население, по Республике Карелия с 01 января 2016 года.</w:t>
      </w:r>
    </w:p>
    <w:p w:rsidR="00105753" w:rsidRPr="00EE5792" w:rsidRDefault="00105753" w:rsidP="00105753">
      <w:pPr>
        <w:widowControl w:val="0"/>
        <w:autoSpaceDE w:val="0"/>
        <w:autoSpaceDN w:val="0"/>
        <w:adjustRightInd w:val="0"/>
        <w:jc w:val="right"/>
        <w:outlineLvl w:val="0"/>
        <w:rPr>
          <w:color w:val="000000"/>
          <w:sz w:val="22"/>
          <w:szCs w:val="22"/>
        </w:rPr>
      </w:pP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Приложение N 1</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к постановлению</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Государственного комитета</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Республики Карелия</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по ценам и тарифам</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от 23.12.2015 N 300</w:t>
      </w:r>
    </w:p>
    <w:p w:rsidR="00105753" w:rsidRPr="00EE5792" w:rsidRDefault="00105753" w:rsidP="00105753">
      <w:pPr>
        <w:autoSpaceDE w:val="0"/>
        <w:autoSpaceDN w:val="0"/>
        <w:adjustRightInd w:val="0"/>
        <w:jc w:val="right"/>
        <w:outlineLvl w:val="0"/>
        <w:rPr>
          <w:sz w:val="16"/>
          <w:szCs w:val="16"/>
        </w:rPr>
      </w:pPr>
    </w:p>
    <w:p w:rsidR="00105753" w:rsidRPr="00803CFF" w:rsidRDefault="00105753" w:rsidP="00105753">
      <w:pPr>
        <w:pStyle w:val="ConsPlusTitle"/>
        <w:jc w:val="center"/>
        <w:rPr>
          <w:rFonts w:ascii="Times New Roman" w:hAnsi="Times New Roman" w:cs="Times New Roman"/>
          <w:b w:val="0"/>
          <w:sz w:val="20"/>
        </w:rPr>
      </w:pPr>
      <w:r w:rsidRPr="00803CFF">
        <w:rPr>
          <w:rFonts w:ascii="Times New Roman" w:hAnsi="Times New Roman" w:cs="Times New Roman"/>
          <w:b w:val="0"/>
          <w:sz w:val="20"/>
        </w:rPr>
        <w:t>ЦЕНЫ (ТАРИФЫ)</w:t>
      </w:r>
    </w:p>
    <w:p w:rsidR="00105753" w:rsidRPr="00803CFF" w:rsidRDefault="00105753" w:rsidP="00105753">
      <w:pPr>
        <w:pStyle w:val="ConsPlusTitle"/>
        <w:jc w:val="center"/>
        <w:rPr>
          <w:rFonts w:ascii="Times New Roman" w:hAnsi="Times New Roman" w:cs="Times New Roman"/>
          <w:b w:val="0"/>
          <w:sz w:val="20"/>
        </w:rPr>
      </w:pPr>
      <w:r w:rsidRPr="00803CFF">
        <w:rPr>
          <w:rFonts w:ascii="Times New Roman" w:hAnsi="Times New Roman" w:cs="Times New Roman"/>
          <w:b w:val="0"/>
          <w:sz w:val="20"/>
        </w:rPr>
        <w:t>НА ЭЛЕКТРИЧЕСКУЮ ЭНЕРГИЮ ДЛЯ НАСЕЛЕНИЯ</w:t>
      </w:r>
      <w:r w:rsidR="00803CFF" w:rsidRPr="00803CFF">
        <w:rPr>
          <w:rFonts w:ascii="Times New Roman" w:hAnsi="Times New Roman" w:cs="Times New Roman"/>
          <w:b w:val="0"/>
          <w:sz w:val="20"/>
        </w:rPr>
        <w:t xml:space="preserve"> </w:t>
      </w:r>
      <w:r w:rsidRPr="00803CFF">
        <w:rPr>
          <w:rFonts w:ascii="Times New Roman" w:hAnsi="Times New Roman" w:cs="Times New Roman"/>
          <w:b w:val="0"/>
          <w:sz w:val="20"/>
        </w:rPr>
        <w:t>И ПРИРАВНЕННЫХ К НЕМУ КАТЕГОРИЙ ПОТРЕБИТЕЛЕЙ</w:t>
      </w:r>
      <w:r w:rsidR="007A3C59" w:rsidRPr="00803CFF">
        <w:rPr>
          <w:rFonts w:ascii="Times New Roman" w:hAnsi="Times New Roman" w:cs="Times New Roman"/>
          <w:b w:val="0"/>
          <w:sz w:val="20"/>
        </w:rPr>
        <w:t xml:space="preserve"> </w:t>
      </w:r>
      <w:r w:rsidRPr="00803CFF">
        <w:rPr>
          <w:rFonts w:ascii="Times New Roman" w:hAnsi="Times New Roman" w:cs="Times New Roman"/>
          <w:b w:val="0"/>
          <w:sz w:val="20"/>
        </w:rPr>
        <w:t>ПО РЕСПУБЛИКЕ КАРЕЛИЯ НА 2016 ГОД</w:t>
      </w:r>
    </w:p>
    <w:p w:rsidR="00105753" w:rsidRPr="00EE5792" w:rsidRDefault="00105753" w:rsidP="00105753">
      <w:pPr>
        <w:pStyle w:val="ConsPlusNormal"/>
        <w:ind w:firstLine="540"/>
        <w:jc w:val="both"/>
        <w:rPr>
          <w:rFonts w:ascii="Times New Roman" w:hAnsi="Times New Roman" w:cs="Times New Roman"/>
        </w:rPr>
      </w:pPr>
    </w:p>
    <w:p w:rsidR="00105753" w:rsidRPr="00EE5792" w:rsidRDefault="00105753" w:rsidP="00105753">
      <w:pPr>
        <w:pStyle w:val="ConsPlusNormal"/>
        <w:jc w:val="right"/>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r w:rsidRPr="00EE5792">
        <w:rPr>
          <w:rFonts w:ascii="Times New Roman" w:hAnsi="Times New Roman" w:cs="Times New Roman"/>
        </w:rPr>
        <w:t xml:space="preserve"> (с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000"/>
      </w:tblPr>
      <w:tblGrid>
        <w:gridCol w:w="500"/>
        <w:gridCol w:w="10902"/>
        <w:gridCol w:w="1701"/>
        <w:gridCol w:w="1843"/>
      </w:tblGrid>
      <w:tr w:rsidR="00105753" w:rsidRPr="007A3C59" w:rsidTr="007A3C59">
        <w:tc>
          <w:tcPr>
            <w:tcW w:w="50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 xml:space="preserve">N </w:t>
            </w:r>
            <w:proofErr w:type="gramStart"/>
            <w:r w:rsidRPr="007A3C59">
              <w:rPr>
                <w:rFonts w:ascii="Times New Roman" w:hAnsi="Times New Roman" w:cs="Times New Roman"/>
              </w:rPr>
              <w:t>п</w:t>
            </w:r>
            <w:proofErr w:type="gramEnd"/>
            <w:r w:rsidRPr="007A3C59">
              <w:rPr>
                <w:rFonts w:ascii="Times New Roman" w:hAnsi="Times New Roman" w:cs="Times New Roman"/>
              </w:rPr>
              <w:t>/п</w:t>
            </w:r>
          </w:p>
        </w:tc>
        <w:tc>
          <w:tcPr>
            <w:tcW w:w="10902"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Показатель (группы потребителей с разбивкой по ставкам и дифференциацией по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Цена (тариф) с 01.01.2016 по 30.06.2016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Цена (тариф) с 01.07.2016 по 31.12.2016</w:t>
            </w:r>
          </w:p>
        </w:tc>
      </w:tr>
      <w:tr w:rsidR="00105753" w:rsidRPr="007A3C59" w:rsidTr="007A3C59">
        <w:tc>
          <w:tcPr>
            <w:tcW w:w="500" w:type="dxa"/>
            <w:tcBorders>
              <w:lef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1</w:t>
            </w:r>
          </w:p>
        </w:tc>
        <w:tc>
          <w:tcPr>
            <w:tcW w:w="10902"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1.</w:t>
            </w: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Население и приравненные к нему категории потребителей, за исключением населения и потребителей, указанных в </w:t>
            </w:r>
            <w:hyperlink w:anchor="P83" w:history="1">
              <w:r w:rsidRPr="007A3C59">
                <w:rPr>
                  <w:rFonts w:ascii="Times New Roman" w:hAnsi="Times New Roman" w:cs="Times New Roman"/>
                  <w:color w:val="000000" w:themeColor="text1"/>
                </w:rPr>
                <w:t>пунктах 2</w:t>
              </w:r>
            </w:hyperlink>
            <w:r w:rsidRPr="007A3C59">
              <w:rPr>
                <w:rFonts w:ascii="Times New Roman" w:hAnsi="Times New Roman" w:cs="Times New Roman"/>
                <w:color w:val="000000" w:themeColor="text1"/>
              </w:rPr>
              <w:t xml:space="preserve"> и </w:t>
            </w:r>
            <w:hyperlink w:anchor="P116" w:history="1">
              <w:r w:rsidRPr="007A3C59">
                <w:rPr>
                  <w:rFonts w:ascii="Times New Roman" w:hAnsi="Times New Roman" w:cs="Times New Roman"/>
                  <w:color w:val="000000" w:themeColor="text1"/>
                </w:rPr>
                <w:t>3</w:t>
              </w:r>
            </w:hyperlink>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proofErr w:type="gramStart"/>
            <w:r w:rsidRPr="007A3C59">
              <w:rPr>
                <w:rFonts w:ascii="Times New Roman" w:hAnsi="Times New Roman" w:cs="Times New Roman"/>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7A3C59">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p>
        </w:tc>
      </w:tr>
      <w:tr w:rsidR="00105753" w:rsidRPr="007A3C59" w:rsidTr="007A3C59">
        <w:tc>
          <w:tcPr>
            <w:tcW w:w="50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1.1.</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1.2.</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двум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Дневная зона (пиковая и полупиковая)</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3,62</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1.3.</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трем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4,46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3,80</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Полупиковая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blPrEx>
          <w:tblBorders>
            <w:insideV w:val="single" w:sz="4" w:space="0" w:color="auto"/>
          </w:tblBorders>
        </w:tblPrEx>
        <w:tc>
          <w:tcPr>
            <w:tcW w:w="500" w:type="dxa"/>
            <w:vMerge/>
          </w:tcPr>
          <w:p w:rsidR="00105753" w:rsidRPr="007A3C59" w:rsidRDefault="00105753" w:rsidP="0017784C">
            <w:pPr>
              <w:rPr>
                <w:sz w:val="20"/>
                <w:szCs w:val="20"/>
              </w:rPr>
            </w:pPr>
          </w:p>
        </w:tc>
        <w:tc>
          <w:tcPr>
            <w:tcW w:w="10902" w:type="dxa"/>
            <w:tcBorders>
              <w:left w:val="nil"/>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left w:val="nil"/>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bookmarkStart w:id="3" w:name="P83"/>
            <w:bookmarkEnd w:id="3"/>
            <w:r w:rsidRPr="007A3C59">
              <w:rPr>
                <w:rFonts w:ascii="Times New Roman" w:hAnsi="Times New Roman" w:cs="Times New Roman"/>
              </w:rPr>
              <w:t>2.</w:t>
            </w:r>
          </w:p>
        </w:tc>
        <w:tc>
          <w:tcPr>
            <w:tcW w:w="14446" w:type="dxa"/>
            <w:gridSpan w:val="3"/>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proofErr w:type="gramStart"/>
            <w:r w:rsidRPr="007A3C59">
              <w:rPr>
                <w:rFonts w:ascii="Times New Roman" w:hAnsi="Times New Roman" w:cs="Times New Roman"/>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7A3C59">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0" w:history="1">
              <w:r w:rsidRPr="007A3C59">
                <w:rPr>
                  <w:rFonts w:ascii="Times New Roman" w:hAnsi="Times New Roman" w:cs="Times New Roman"/>
                  <w:color w:val="000000" w:themeColor="text1"/>
                </w:rPr>
                <w:t>&lt;1&gt;</w:t>
              </w:r>
            </w:hyperlink>
          </w:p>
        </w:tc>
      </w:tr>
      <w:tr w:rsidR="00105753" w:rsidRPr="007A3C59" w:rsidTr="007A3C59">
        <w:tc>
          <w:tcPr>
            <w:tcW w:w="50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2.1.</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2,05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2,20</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2.2.</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двум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Дневная зона (пиковая и полупиковая)</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2,36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2,53</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0,42</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2.3.</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трем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2,86</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Полупиковая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2,05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2,20</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0,42</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bookmarkStart w:id="4" w:name="P116"/>
            <w:bookmarkEnd w:id="4"/>
            <w:r w:rsidRPr="007A3C59">
              <w:rPr>
                <w:rFonts w:ascii="Times New Roman" w:hAnsi="Times New Roman" w:cs="Times New Roman"/>
              </w:rPr>
              <w:t>3.</w:t>
            </w: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proofErr w:type="gramStart"/>
            <w:r w:rsidRPr="007A3C59">
              <w:rPr>
                <w:rFonts w:ascii="Times New Roman" w:hAnsi="Times New Roman" w:cs="Times New Roman"/>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7A3C59">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w:t>
            </w:r>
            <w:r w:rsidRPr="007A3C59">
              <w:rPr>
                <w:rFonts w:ascii="Times New Roman" w:hAnsi="Times New Roman" w:cs="Times New Roman"/>
                <w:color w:val="000000" w:themeColor="text1"/>
              </w:rPr>
              <w:t xml:space="preserve">нкте </w:t>
            </w:r>
            <w:hyperlink w:anchor="P330" w:history="1">
              <w:r w:rsidRPr="007A3C59">
                <w:rPr>
                  <w:rFonts w:ascii="Times New Roman" w:hAnsi="Times New Roman" w:cs="Times New Roman"/>
                  <w:color w:val="000000" w:themeColor="text1"/>
                </w:rPr>
                <w:t>&lt;1&gt;</w:t>
              </w:r>
            </w:hyperlink>
          </w:p>
        </w:tc>
      </w:tr>
      <w:tr w:rsidR="00105753" w:rsidRPr="007A3C59" w:rsidTr="007A3C59">
        <w:tc>
          <w:tcPr>
            <w:tcW w:w="50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2,05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2,20</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lastRenderedPageBreak/>
              <w:t>3.2.</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двум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Дневная зона (пиковая и полупиковая)</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2,36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2,53</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0,42</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3.3.</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трем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2,86</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Полупиковая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2,05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2,20</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0,42</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w:t>
            </w: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105753" w:rsidRPr="007A3C59" w:rsidTr="007A3C59">
        <w:tc>
          <w:tcPr>
            <w:tcW w:w="500" w:type="dxa"/>
            <w:tcBorders>
              <w:left w:val="single" w:sz="4" w:space="0" w:color="auto"/>
              <w:right w:val="single" w:sz="4" w:space="0" w:color="auto"/>
            </w:tcBorders>
            <w:vAlign w:val="bottom"/>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4.1.</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2,05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2,20</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4.2.</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двум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Дневная зона (пиковая и полупиковая)</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2,36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2,53</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0,42</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4.3.</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трем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2,86</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Полупиковая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2,05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2,20</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0,42</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5.</w:t>
            </w: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105753" w:rsidRPr="007A3C59" w:rsidTr="007A3C59">
        <w:tc>
          <w:tcPr>
            <w:tcW w:w="50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5.1.</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lastRenderedPageBreak/>
              <w:t>5.2.</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двум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Дневная зона (пиковая и полупиковая)</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3,62</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5.3.</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трем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4,46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3,80</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Полупиковая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6.</w:t>
            </w: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Содержащиеся за счет прихожан религиозные организации</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p>
        </w:tc>
      </w:tr>
      <w:tr w:rsidR="00105753" w:rsidRPr="007A3C59" w:rsidTr="007A3C59">
        <w:tc>
          <w:tcPr>
            <w:tcW w:w="50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6.1.</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6.2.</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двум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Дневная зона (пиковая и полупиковая)</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3,62</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6.3.</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трем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4,46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3,80</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Полупиковая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7.</w:t>
            </w: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4446" w:type="dxa"/>
            <w:gridSpan w:val="3"/>
            <w:tcBorders>
              <w:right w:val="single" w:sz="4" w:space="0" w:color="auto"/>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r w:rsidRPr="007A3C59">
              <w:rPr>
                <w:rFonts w:ascii="Times New Roman" w:hAnsi="Times New Roman" w:cs="Times New Roman"/>
                <w:color w:val="000000" w:themeColor="text1"/>
              </w:rPr>
              <w:t xml:space="preserve"> </w:t>
            </w:r>
            <w:hyperlink w:anchor="P330" w:history="1">
              <w:r w:rsidRPr="007A3C59">
                <w:rPr>
                  <w:rFonts w:ascii="Times New Roman" w:hAnsi="Times New Roman" w:cs="Times New Roman"/>
                  <w:color w:val="000000" w:themeColor="text1"/>
                </w:rPr>
                <w:t>&lt;1&gt;</w:t>
              </w:r>
            </w:hyperlink>
          </w:p>
        </w:tc>
      </w:tr>
      <w:tr w:rsidR="00105753" w:rsidRPr="007A3C59" w:rsidTr="007A3C59">
        <w:tc>
          <w:tcPr>
            <w:tcW w:w="50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lastRenderedPageBreak/>
              <w:t>7.1.</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7.2.</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двум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Дневная зона (пиковая и полупиковая)</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3,37</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3,62</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r w:rsidR="00105753" w:rsidRPr="007A3C59" w:rsidTr="007A3C59">
        <w:tc>
          <w:tcPr>
            <w:tcW w:w="500" w:type="dxa"/>
            <w:vMerge w:val="restart"/>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7.3.</w:t>
            </w: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Одноставочный тариф, дифференцированный по трем зонам суток</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4,46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3,80</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Полупиковая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2,93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3,15</w:t>
            </w:r>
          </w:p>
        </w:tc>
      </w:tr>
      <w:tr w:rsidR="00105753" w:rsidRPr="007A3C59" w:rsidTr="007A3C59">
        <w:tc>
          <w:tcPr>
            <w:tcW w:w="500" w:type="dxa"/>
            <w:vMerge/>
            <w:tcBorders>
              <w:left w:val="single" w:sz="4" w:space="0" w:color="auto"/>
              <w:right w:val="single" w:sz="4" w:space="0" w:color="auto"/>
            </w:tcBorders>
          </w:tcPr>
          <w:p w:rsidR="00105753" w:rsidRPr="007A3C59" w:rsidRDefault="00105753" w:rsidP="0017784C">
            <w:pPr>
              <w:rPr>
                <w:sz w:val="20"/>
                <w:szCs w:val="20"/>
              </w:rPr>
            </w:pPr>
          </w:p>
        </w:tc>
        <w:tc>
          <w:tcPr>
            <w:tcW w:w="10902" w:type="dxa"/>
            <w:tcBorders>
              <w:right w:val="single" w:sz="4" w:space="0" w:color="auto"/>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Ночная зона</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0,55</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0,63</w:t>
            </w:r>
          </w:p>
        </w:tc>
      </w:tr>
    </w:tbl>
    <w:p w:rsidR="00105753" w:rsidRPr="00EE5792" w:rsidRDefault="00105753" w:rsidP="00105753">
      <w:pPr>
        <w:autoSpaceDE w:val="0"/>
        <w:autoSpaceDN w:val="0"/>
        <w:adjustRightInd w:val="0"/>
        <w:jc w:val="right"/>
        <w:outlineLvl w:val="0"/>
        <w:rPr>
          <w:sz w:val="16"/>
          <w:szCs w:val="16"/>
        </w:rPr>
      </w:pP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Приложение N 2</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к постановлению</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Государственного комитета</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Республики Карелия</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по ценам и тарифам</w:t>
      </w:r>
    </w:p>
    <w:p w:rsidR="00105753" w:rsidRPr="007A3C59" w:rsidRDefault="00105753" w:rsidP="00105753">
      <w:pPr>
        <w:pStyle w:val="ConsPlusNormal"/>
        <w:jc w:val="right"/>
        <w:rPr>
          <w:rFonts w:ascii="Times New Roman" w:hAnsi="Times New Roman" w:cs="Times New Roman"/>
          <w:sz w:val="16"/>
          <w:szCs w:val="16"/>
        </w:rPr>
      </w:pPr>
      <w:r w:rsidRPr="007A3C59">
        <w:rPr>
          <w:rFonts w:ascii="Times New Roman" w:hAnsi="Times New Roman" w:cs="Times New Roman"/>
          <w:sz w:val="16"/>
          <w:szCs w:val="16"/>
        </w:rPr>
        <w:t>от 23.12.2015 N 300</w:t>
      </w:r>
    </w:p>
    <w:p w:rsidR="00105753" w:rsidRPr="00EE5792" w:rsidRDefault="00105753" w:rsidP="00105753">
      <w:pPr>
        <w:widowControl w:val="0"/>
        <w:autoSpaceDE w:val="0"/>
        <w:autoSpaceDN w:val="0"/>
        <w:adjustRightInd w:val="0"/>
        <w:ind w:left="-567"/>
        <w:jc w:val="center"/>
        <w:rPr>
          <w:color w:val="000000"/>
          <w:sz w:val="22"/>
          <w:szCs w:val="22"/>
          <w:lang w:val="en-US"/>
        </w:rPr>
      </w:pPr>
    </w:p>
    <w:p w:rsidR="00105753" w:rsidRPr="00EE5792" w:rsidRDefault="00105753" w:rsidP="00105753">
      <w:pPr>
        <w:widowControl w:val="0"/>
        <w:autoSpaceDE w:val="0"/>
        <w:autoSpaceDN w:val="0"/>
        <w:adjustRightInd w:val="0"/>
        <w:ind w:left="-567"/>
        <w:jc w:val="center"/>
        <w:rPr>
          <w:color w:val="000000"/>
          <w:sz w:val="22"/>
          <w:szCs w:val="22"/>
          <w:lang w:val="en-US"/>
        </w:rPr>
      </w:pPr>
    </w:p>
    <w:p w:rsidR="00105753" w:rsidRPr="00803CFF" w:rsidRDefault="00105753" w:rsidP="00105753">
      <w:pPr>
        <w:pStyle w:val="ConsPlusTitle"/>
        <w:jc w:val="center"/>
        <w:rPr>
          <w:rFonts w:ascii="Times New Roman" w:hAnsi="Times New Roman" w:cs="Times New Roman"/>
          <w:b w:val="0"/>
          <w:sz w:val="20"/>
        </w:rPr>
      </w:pPr>
      <w:r w:rsidRPr="00803CFF">
        <w:rPr>
          <w:rFonts w:ascii="Times New Roman" w:hAnsi="Times New Roman" w:cs="Times New Roman"/>
          <w:b w:val="0"/>
          <w:sz w:val="20"/>
        </w:rPr>
        <w:t>ПОНИЖАЮЩИЙ КОЭФФИЦИЕНТ,</w:t>
      </w:r>
    </w:p>
    <w:p w:rsidR="00105753" w:rsidRPr="00803CFF" w:rsidRDefault="00105753" w:rsidP="00105753">
      <w:pPr>
        <w:pStyle w:val="ConsPlusTitle"/>
        <w:jc w:val="center"/>
        <w:rPr>
          <w:rFonts w:ascii="Times New Roman" w:hAnsi="Times New Roman" w:cs="Times New Roman"/>
          <w:b w:val="0"/>
          <w:sz w:val="20"/>
        </w:rPr>
      </w:pPr>
      <w:r w:rsidRPr="00803CFF">
        <w:rPr>
          <w:rFonts w:ascii="Times New Roman" w:hAnsi="Times New Roman" w:cs="Times New Roman"/>
          <w:b w:val="0"/>
          <w:sz w:val="20"/>
        </w:rPr>
        <w:t>ИСПОЛЬЗУЕМЫЙ ПРИ УСТАНОВЛЕНИИ ЦЕН (ТАРИФОВ)</w:t>
      </w:r>
      <w:r w:rsidR="007A3C59" w:rsidRPr="00803CFF">
        <w:rPr>
          <w:rFonts w:ascii="Times New Roman" w:hAnsi="Times New Roman" w:cs="Times New Roman"/>
          <w:b w:val="0"/>
          <w:sz w:val="20"/>
        </w:rPr>
        <w:t xml:space="preserve"> </w:t>
      </w:r>
      <w:r w:rsidRPr="00803CFF">
        <w:rPr>
          <w:rFonts w:ascii="Times New Roman" w:hAnsi="Times New Roman" w:cs="Times New Roman"/>
          <w:b w:val="0"/>
          <w:sz w:val="20"/>
        </w:rPr>
        <w:t>НА ЭЛЕКТРИЧЕСКУЮ ЭНЕРГИЮ ДЛЯ НАСЕЛЕНИЯ И ПРИРАВНЕННЫХ</w:t>
      </w:r>
      <w:r w:rsidR="007A3C59" w:rsidRPr="00803CFF">
        <w:rPr>
          <w:rFonts w:ascii="Times New Roman" w:hAnsi="Times New Roman" w:cs="Times New Roman"/>
          <w:b w:val="0"/>
          <w:sz w:val="20"/>
        </w:rPr>
        <w:t xml:space="preserve"> </w:t>
      </w:r>
      <w:r w:rsidRPr="00803CFF">
        <w:rPr>
          <w:rFonts w:ascii="Times New Roman" w:hAnsi="Times New Roman" w:cs="Times New Roman"/>
          <w:b w:val="0"/>
          <w:sz w:val="20"/>
        </w:rPr>
        <w:t>К НЕМУ КАТЕГОРИЙ ПОТРЕБИТЕЛЕЙ ПО РЕСПУБЛИКЕ КАРЕЛИЯ</w:t>
      </w:r>
      <w:r w:rsidR="007A3C59" w:rsidRPr="00803CFF">
        <w:rPr>
          <w:rFonts w:ascii="Times New Roman" w:hAnsi="Times New Roman" w:cs="Times New Roman"/>
          <w:b w:val="0"/>
          <w:sz w:val="20"/>
        </w:rPr>
        <w:t xml:space="preserve"> </w:t>
      </w:r>
      <w:r w:rsidRPr="00803CFF">
        <w:rPr>
          <w:rFonts w:ascii="Times New Roman" w:hAnsi="Times New Roman" w:cs="Times New Roman"/>
          <w:b w:val="0"/>
          <w:sz w:val="20"/>
        </w:rPr>
        <w:t>НА 2016 ГОД</w:t>
      </w:r>
    </w:p>
    <w:p w:rsidR="00105753" w:rsidRPr="00803CFF" w:rsidRDefault="00105753" w:rsidP="0010575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000"/>
      </w:tblPr>
      <w:tblGrid>
        <w:gridCol w:w="540"/>
        <w:gridCol w:w="10862"/>
        <w:gridCol w:w="1701"/>
        <w:gridCol w:w="1843"/>
      </w:tblGrid>
      <w:tr w:rsidR="00105753" w:rsidRPr="007A3C59" w:rsidTr="007A3C59">
        <w:tc>
          <w:tcPr>
            <w:tcW w:w="540"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 xml:space="preserve">N </w:t>
            </w:r>
            <w:proofErr w:type="gramStart"/>
            <w:r w:rsidRPr="007A3C59">
              <w:rPr>
                <w:rFonts w:ascii="Times New Roman" w:hAnsi="Times New Roman" w:cs="Times New Roman"/>
              </w:rPr>
              <w:t>п</w:t>
            </w:r>
            <w:proofErr w:type="gramEnd"/>
            <w:r w:rsidRPr="007A3C59">
              <w:rPr>
                <w:rFonts w:ascii="Times New Roman" w:hAnsi="Times New Roman" w:cs="Times New Roman"/>
              </w:rPr>
              <w:t>/п</w:t>
            </w:r>
          </w:p>
        </w:tc>
        <w:tc>
          <w:tcPr>
            <w:tcW w:w="10862"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Показатель</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с 01.01.2016 по 30.06.2016</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с 01.07.2016 по 31.12.2016</w:t>
            </w:r>
          </w:p>
        </w:tc>
      </w:tr>
      <w:tr w:rsidR="00105753" w:rsidRPr="007A3C59" w:rsidTr="007A3C59">
        <w:tc>
          <w:tcPr>
            <w:tcW w:w="540" w:type="dxa"/>
            <w:tcBorders>
              <w:lef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1</w:t>
            </w:r>
          </w:p>
        </w:tc>
        <w:tc>
          <w:tcPr>
            <w:tcW w:w="10862" w:type="dxa"/>
            <w:tcBorders>
              <w:left w:val="single" w:sz="4" w:space="0" w:color="auto"/>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w:t>
            </w:r>
          </w:p>
        </w:tc>
        <w:tc>
          <w:tcPr>
            <w:tcW w:w="1701"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3</w:t>
            </w:r>
          </w:p>
        </w:tc>
        <w:tc>
          <w:tcPr>
            <w:tcW w:w="1843" w:type="dxa"/>
            <w:tcBorders>
              <w:right w:val="single" w:sz="4" w:space="0" w:color="auto"/>
            </w:tcBorders>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4</w:t>
            </w:r>
          </w:p>
        </w:tc>
      </w:tr>
      <w:tr w:rsidR="00105753" w:rsidRPr="007A3C59" w:rsidTr="007A3C59">
        <w:tblPrEx>
          <w:tblBorders>
            <w:insideV w:val="single" w:sz="4" w:space="0" w:color="auto"/>
          </w:tblBorders>
        </w:tblPrEx>
        <w:tc>
          <w:tcPr>
            <w:tcW w:w="540"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1.</w:t>
            </w:r>
          </w:p>
        </w:tc>
        <w:tc>
          <w:tcPr>
            <w:tcW w:w="10862" w:type="dxa"/>
            <w:tcBorders>
              <w:left w:val="nil"/>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p>
        </w:tc>
        <w:tc>
          <w:tcPr>
            <w:tcW w:w="1701"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0,7</w:t>
            </w:r>
          </w:p>
        </w:tc>
        <w:tc>
          <w:tcPr>
            <w:tcW w:w="1843"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0,7</w:t>
            </w: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tcBorders>
            <w:vAlign w:val="center"/>
          </w:tcPr>
          <w:p w:rsidR="00105753" w:rsidRPr="00CF6575" w:rsidRDefault="00105753" w:rsidP="0017784C">
            <w:pPr>
              <w:pStyle w:val="ConsPlusNormal"/>
              <w:jc w:val="both"/>
              <w:rPr>
                <w:rFonts w:ascii="Times New Roman" w:hAnsi="Times New Roman" w:cs="Times New Roman"/>
              </w:rPr>
            </w:pPr>
            <w:r w:rsidRPr="007A3C59">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803CFF" w:rsidRPr="00CF6575" w:rsidRDefault="00803CFF" w:rsidP="0017784C">
            <w:pPr>
              <w:pStyle w:val="ConsPlusNormal"/>
              <w:jc w:val="both"/>
              <w:rPr>
                <w:rFonts w:ascii="Times New Roman" w:hAnsi="Times New Roman" w:cs="Times New Roman"/>
              </w:rPr>
            </w:pPr>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tcBorders>
            <w:vAlign w:val="center"/>
          </w:tcPr>
          <w:p w:rsidR="00105753" w:rsidRPr="007A3C59" w:rsidRDefault="00105753" w:rsidP="0017784C">
            <w:pPr>
              <w:pStyle w:val="ConsPlusNormal"/>
              <w:jc w:val="both"/>
              <w:rPr>
                <w:rFonts w:ascii="Times New Roman" w:hAnsi="Times New Roman" w:cs="Times New Roman"/>
              </w:rPr>
            </w:pPr>
            <w:proofErr w:type="spellStart"/>
            <w:proofErr w:type="gramStart"/>
            <w:r w:rsidRPr="007A3C59">
              <w:rPr>
                <w:rFonts w:ascii="Times New Roman" w:hAnsi="Times New Roman" w:cs="Times New Roman"/>
              </w:rPr>
              <w:t>Наймодатели</w:t>
            </w:r>
            <w:proofErr w:type="spellEnd"/>
            <w:r w:rsidRPr="007A3C59">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7A3C59">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right w:val="nil"/>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80" w:history="1">
              <w:r w:rsidRPr="007A3C59">
                <w:rPr>
                  <w:rFonts w:ascii="Times New Roman" w:hAnsi="Times New Roman" w:cs="Times New Roman"/>
                  <w:color w:val="000000" w:themeColor="text1"/>
                </w:rPr>
                <w:t>&lt;1&gt;</w:t>
              </w:r>
            </w:hyperlink>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2.</w:t>
            </w:r>
          </w:p>
        </w:tc>
        <w:tc>
          <w:tcPr>
            <w:tcW w:w="10862" w:type="dxa"/>
            <w:tcBorders>
              <w:left w:val="nil"/>
              <w:right w:val="nil"/>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c>
          <w:tcPr>
            <w:tcW w:w="1701"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0,7</w:t>
            </w:r>
          </w:p>
        </w:tc>
        <w:tc>
          <w:tcPr>
            <w:tcW w:w="1843"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0,7</w:t>
            </w: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right w:val="nil"/>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right w:val="nil"/>
            </w:tcBorders>
            <w:vAlign w:val="center"/>
          </w:tcPr>
          <w:p w:rsidR="00105753" w:rsidRPr="007A3C59" w:rsidRDefault="00105753" w:rsidP="0017784C">
            <w:pPr>
              <w:pStyle w:val="ConsPlusNormal"/>
              <w:jc w:val="both"/>
              <w:rPr>
                <w:rFonts w:ascii="Times New Roman" w:hAnsi="Times New Roman" w:cs="Times New Roman"/>
              </w:rPr>
            </w:pPr>
            <w:proofErr w:type="gramStart"/>
            <w:r w:rsidRPr="007A3C59">
              <w:rPr>
                <w:rFonts w:ascii="Times New Roman" w:hAnsi="Times New Roman" w:cs="Times New Roman"/>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7A3C59">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right w:val="nil"/>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right w:val="nil"/>
            </w:tcBorders>
            <w:vAlign w:val="center"/>
          </w:tcPr>
          <w:p w:rsidR="00105753" w:rsidRPr="00CF6575"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w:t>
            </w:r>
            <w:r w:rsidRPr="007A3C59">
              <w:rPr>
                <w:rFonts w:ascii="Times New Roman" w:hAnsi="Times New Roman" w:cs="Times New Roman"/>
                <w:color w:val="000000" w:themeColor="text1"/>
              </w:rPr>
              <w:t xml:space="preserve">пункте </w:t>
            </w:r>
            <w:hyperlink w:anchor="P380" w:history="1">
              <w:r w:rsidRPr="007A3C59">
                <w:rPr>
                  <w:rFonts w:ascii="Times New Roman" w:hAnsi="Times New Roman" w:cs="Times New Roman"/>
                  <w:color w:val="000000" w:themeColor="text1"/>
                </w:rPr>
                <w:t>&lt;1&gt;</w:t>
              </w:r>
            </w:hyperlink>
          </w:p>
          <w:p w:rsidR="00803CFF" w:rsidRPr="00CF6575" w:rsidRDefault="00803CFF" w:rsidP="0017784C">
            <w:pPr>
              <w:pStyle w:val="ConsPlusNormal"/>
              <w:jc w:val="both"/>
              <w:rPr>
                <w:rFonts w:ascii="Times New Roman" w:hAnsi="Times New Roman" w:cs="Times New Roman"/>
              </w:rPr>
            </w:pPr>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r w:rsidR="00105753" w:rsidRPr="007A3C59" w:rsidTr="007A3C59">
        <w:tblPrEx>
          <w:tblBorders>
            <w:insideV w:val="single" w:sz="4" w:space="0" w:color="auto"/>
          </w:tblBorders>
        </w:tblPrEx>
        <w:tc>
          <w:tcPr>
            <w:tcW w:w="540"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lastRenderedPageBreak/>
              <w:t>3.</w:t>
            </w:r>
          </w:p>
        </w:tc>
        <w:tc>
          <w:tcPr>
            <w:tcW w:w="10862" w:type="dxa"/>
            <w:tcBorders>
              <w:left w:val="nil"/>
              <w:right w:val="nil"/>
            </w:tcBorders>
            <w:vAlign w:val="center"/>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701"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0,7</w:t>
            </w:r>
          </w:p>
        </w:tc>
        <w:tc>
          <w:tcPr>
            <w:tcW w:w="1843" w:type="dxa"/>
            <w:vMerge w:val="restart"/>
            <w:vAlign w:val="center"/>
          </w:tcPr>
          <w:p w:rsidR="00105753" w:rsidRPr="007A3C59" w:rsidRDefault="00105753" w:rsidP="0017784C">
            <w:pPr>
              <w:pStyle w:val="ConsPlusNormal"/>
              <w:jc w:val="center"/>
              <w:rPr>
                <w:rFonts w:ascii="Times New Roman" w:hAnsi="Times New Roman" w:cs="Times New Roman"/>
              </w:rPr>
            </w:pPr>
            <w:r w:rsidRPr="007A3C59">
              <w:rPr>
                <w:rFonts w:ascii="Times New Roman" w:hAnsi="Times New Roman" w:cs="Times New Roman"/>
              </w:rPr>
              <w:t>0,7</w:t>
            </w:r>
          </w:p>
        </w:tc>
      </w:tr>
      <w:tr w:rsidR="00105753" w:rsidRPr="007A3C59" w:rsidTr="007A3C59">
        <w:tblPrEx>
          <w:tblBorders>
            <w:insideV w:val="single" w:sz="4" w:space="0" w:color="auto"/>
          </w:tblBorders>
        </w:tblPrEx>
        <w:tc>
          <w:tcPr>
            <w:tcW w:w="540" w:type="dxa"/>
            <w:vMerge/>
          </w:tcPr>
          <w:p w:rsidR="00105753" w:rsidRPr="007A3C59" w:rsidRDefault="00105753" w:rsidP="0017784C">
            <w:pPr>
              <w:rPr>
                <w:sz w:val="20"/>
                <w:szCs w:val="20"/>
              </w:rPr>
            </w:pPr>
          </w:p>
        </w:tc>
        <w:tc>
          <w:tcPr>
            <w:tcW w:w="10862" w:type="dxa"/>
            <w:tcBorders>
              <w:left w:val="nil"/>
            </w:tcBorders>
            <w:vAlign w:val="bottom"/>
          </w:tcPr>
          <w:p w:rsidR="00105753" w:rsidRPr="007A3C59" w:rsidRDefault="00105753" w:rsidP="0017784C">
            <w:pPr>
              <w:pStyle w:val="ConsPlusNormal"/>
              <w:jc w:val="both"/>
              <w:rPr>
                <w:rFonts w:ascii="Times New Roman" w:hAnsi="Times New Roman" w:cs="Times New Roman"/>
              </w:rPr>
            </w:pPr>
            <w:r w:rsidRPr="007A3C59">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категориям потребителей, приравненным к населению, указанным в данном </w:t>
            </w:r>
            <w:r w:rsidRPr="007A3C59">
              <w:rPr>
                <w:rFonts w:ascii="Times New Roman" w:hAnsi="Times New Roman" w:cs="Times New Roman"/>
                <w:color w:val="000000" w:themeColor="text1"/>
              </w:rPr>
              <w:t xml:space="preserve">пункте </w:t>
            </w:r>
            <w:hyperlink w:anchor="P380" w:history="1">
              <w:r w:rsidRPr="007A3C59">
                <w:rPr>
                  <w:rFonts w:ascii="Times New Roman" w:hAnsi="Times New Roman" w:cs="Times New Roman"/>
                  <w:color w:val="000000" w:themeColor="text1"/>
                </w:rPr>
                <w:t>&lt;1&gt;</w:t>
              </w:r>
            </w:hyperlink>
          </w:p>
        </w:tc>
        <w:tc>
          <w:tcPr>
            <w:tcW w:w="1701" w:type="dxa"/>
            <w:vMerge/>
          </w:tcPr>
          <w:p w:rsidR="00105753" w:rsidRPr="007A3C59" w:rsidRDefault="00105753" w:rsidP="0017784C">
            <w:pPr>
              <w:rPr>
                <w:sz w:val="20"/>
                <w:szCs w:val="20"/>
              </w:rPr>
            </w:pPr>
          </w:p>
        </w:tc>
        <w:tc>
          <w:tcPr>
            <w:tcW w:w="1843" w:type="dxa"/>
            <w:vMerge/>
          </w:tcPr>
          <w:p w:rsidR="00105753" w:rsidRPr="007A3C59" w:rsidRDefault="00105753" w:rsidP="0017784C">
            <w:pPr>
              <w:rPr>
                <w:sz w:val="20"/>
                <w:szCs w:val="20"/>
              </w:rPr>
            </w:pPr>
          </w:p>
        </w:tc>
      </w:tr>
    </w:tbl>
    <w:p w:rsidR="00105753" w:rsidRPr="00EE5792" w:rsidRDefault="00105753" w:rsidP="00105753">
      <w:pPr>
        <w:pStyle w:val="ConsPlusNormal"/>
        <w:ind w:firstLine="540"/>
        <w:jc w:val="both"/>
        <w:rPr>
          <w:rFonts w:ascii="Times New Roman" w:hAnsi="Times New Roman" w:cs="Times New Roman"/>
        </w:rPr>
      </w:pPr>
    </w:p>
    <w:p w:rsidR="00105753" w:rsidRPr="00803CFF" w:rsidRDefault="00105753" w:rsidP="00803CFF">
      <w:pPr>
        <w:widowControl w:val="0"/>
        <w:autoSpaceDE w:val="0"/>
        <w:autoSpaceDN w:val="0"/>
        <w:adjustRightInd w:val="0"/>
        <w:spacing w:line="360" w:lineRule="auto"/>
        <w:ind w:firstLine="540"/>
        <w:jc w:val="both"/>
        <w:rPr>
          <w:sz w:val="22"/>
          <w:szCs w:val="22"/>
        </w:rPr>
      </w:pPr>
      <w:bookmarkStart w:id="5" w:name="P380"/>
      <w:bookmarkEnd w:id="5"/>
      <w:proofErr w:type="gramStart"/>
      <w:r w:rsidRPr="00803CFF">
        <w:rPr>
          <w:sz w:val="22"/>
          <w:szCs w:val="22"/>
        </w:rPr>
        <w:t>&lt;1&gt;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roofErr w:type="gramEnd"/>
    </w:p>
    <w:p w:rsidR="003E6A25" w:rsidRPr="00CF6575" w:rsidRDefault="003E6A25" w:rsidP="00803CFF">
      <w:pPr>
        <w:widowControl w:val="0"/>
        <w:autoSpaceDE w:val="0"/>
        <w:autoSpaceDN w:val="0"/>
        <w:adjustRightInd w:val="0"/>
        <w:spacing w:line="360" w:lineRule="auto"/>
        <w:ind w:firstLine="540"/>
        <w:jc w:val="both"/>
        <w:rPr>
          <w:sz w:val="22"/>
          <w:szCs w:val="22"/>
        </w:rPr>
      </w:pPr>
    </w:p>
    <w:p w:rsidR="00105753" w:rsidRPr="00803CFF" w:rsidRDefault="00105753" w:rsidP="00803CFF">
      <w:pPr>
        <w:widowControl w:val="0"/>
        <w:autoSpaceDE w:val="0"/>
        <w:autoSpaceDN w:val="0"/>
        <w:adjustRightInd w:val="0"/>
        <w:spacing w:line="360" w:lineRule="auto"/>
        <w:ind w:firstLine="540"/>
        <w:jc w:val="both"/>
        <w:rPr>
          <w:sz w:val="22"/>
          <w:szCs w:val="22"/>
        </w:rPr>
      </w:pPr>
      <w:r w:rsidRPr="00803CFF">
        <w:rPr>
          <w:sz w:val="22"/>
          <w:szCs w:val="22"/>
        </w:rPr>
        <w:t xml:space="preserve">Отнесение потребителей к тарифной группе потребителей электрической энергии (мощности), приравненных к населению, производится в соответствии с </w:t>
      </w:r>
      <w:hyperlink r:id="rId7" w:history="1">
        <w:r w:rsidRPr="00803CFF">
          <w:rPr>
            <w:sz w:val="22"/>
            <w:szCs w:val="22"/>
          </w:rPr>
          <w:t>Приказом</w:t>
        </w:r>
      </w:hyperlink>
      <w:r w:rsidRPr="00803CFF">
        <w:rPr>
          <w:sz w:val="22"/>
          <w:szCs w:val="22"/>
        </w:rPr>
        <w:t xml:space="preserve"> Федеральной службы по тарифам от 31 декабря 2010 года N 655-э "Об определении категорий потребителей, которые приравнены к населению и которым электрическая энергия (мощность) поставляется по регулируемым ценам (тарифам)".</w:t>
      </w:r>
    </w:p>
    <w:p w:rsidR="003E6A25" w:rsidRPr="003E6A25" w:rsidRDefault="003E6A25" w:rsidP="00105753">
      <w:pPr>
        <w:autoSpaceDE w:val="0"/>
        <w:autoSpaceDN w:val="0"/>
        <w:adjustRightInd w:val="0"/>
        <w:ind w:firstLine="708"/>
        <w:jc w:val="center"/>
        <w:outlineLvl w:val="1"/>
        <w:rPr>
          <w:b/>
          <w:sz w:val="22"/>
          <w:szCs w:val="22"/>
        </w:rPr>
      </w:pPr>
    </w:p>
    <w:p w:rsidR="003E6A25" w:rsidRPr="00CF6575" w:rsidRDefault="003E6A25" w:rsidP="00105753">
      <w:pPr>
        <w:autoSpaceDE w:val="0"/>
        <w:autoSpaceDN w:val="0"/>
        <w:adjustRightInd w:val="0"/>
        <w:ind w:firstLine="708"/>
        <w:jc w:val="center"/>
        <w:outlineLvl w:val="1"/>
        <w:rPr>
          <w:b/>
          <w:sz w:val="22"/>
          <w:szCs w:val="22"/>
        </w:rPr>
      </w:pPr>
    </w:p>
    <w:p w:rsidR="00105753" w:rsidRPr="00EE5792" w:rsidRDefault="00105753" w:rsidP="00105753">
      <w:pPr>
        <w:autoSpaceDE w:val="0"/>
        <w:autoSpaceDN w:val="0"/>
        <w:adjustRightInd w:val="0"/>
        <w:ind w:firstLine="708"/>
        <w:jc w:val="center"/>
        <w:outlineLvl w:val="1"/>
        <w:rPr>
          <w:b/>
          <w:sz w:val="22"/>
          <w:szCs w:val="22"/>
        </w:rPr>
      </w:pPr>
      <w:r w:rsidRPr="00EE5792">
        <w:rPr>
          <w:b/>
          <w:sz w:val="22"/>
          <w:szCs w:val="22"/>
        </w:rPr>
        <w:t>Тарифы на услуги по передаче электрической энергии по сетям Республики Карелия</w:t>
      </w:r>
    </w:p>
    <w:p w:rsidR="00105753" w:rsidRPr="00EE5792" w:rsidRDefault="00105753" w:rsidP="00105753">
      <w:pPr>
        <w:widowControl w:val="0"/>
        <w:autoSpaceDE w:val="0"/>
        <w:autoSpaceDN w:val="0"/>
        <w:adjustRightInd w:val="0"/>
        <w:ind w:firstLine="540"/>
        <w:jc w:val="both"/>
        <w:rPr>
          <w:sz w:val="22"/>
          <w:szCs w:val="22"/>
        </w:rPr>
      </w:pPr>
    </w:p>
    <w:p w:rsidR="003E6A25" w:rsidRPr="003E6A25" w:rsidRDefault="003E6A25" w:rsidP="003E6A25">
      <w:pPr>
        <w:spacing w:line="360" w:lineRule="auto"/>
        <w:jc w:val="both"/>
        <w:rPr>
          <w:sz w:val="22"/>
          <w:szCs w:val="22"/>
        </w:rPr>
      </w:pPr>
    </w:p>
    <w:p w:rsidR="00105753" w:rsidRPr="00CF6575" w:rsidRDefault="00105753" w:rsidP="003E6A25">
      <w:pPr>
        <w:spacing w:line="360" w:lineRule="auto"/>
        <w:jc w:val="both"/>
        <w:rPr>
          <w:sz w:val="22"/>
          <w:szCs w:val="22"/>
        </w:rPr>
      </w:pPr>
      <w:r w:rsidRPr="003E6A25">
        <w:rPr>
          <w:sz w:val="22"/>
          <w:szCs w:val="22"/>
        </w:rPr>
        <w:t>Постановление Государственного комитета Республики Карелия по ценам и тарифам №310 от 30.12.2015г.   «Об установлении единых (котловых) тарифов  на услуги по передаче электрическ</w:t>
      </w:r>
      <w:r w:rsidR="0017784C" w:rsidRPr="003E6A25">
        <w:rPr>
          <w:sz w:val="22"/>
          <w:szCs w:val="22"/>
        </w:rPr>
        <w:t>ой энергии по сетям РК 2016 год</w:t>
      </w:r>
      <w:r w:rsidRPr="003E6A25">
        <w:rPr>
          <w:sz w:val="22"/>
          <w:szCs w:val="22"/>
        </w:rPr>
        <w:t>»</w:t>
      </w:r>
      <w:r w:rsidR="0017784C" w:rsidRPr="003E6A25">
        <w:rPr>
          <w:sz w:val="22"/>
          <w:szCs w:val="22"/>
        </w:rPr>
        <w:t>.</w:t>
      </w:r>
    </w:p>
    <w:p w:rsidR="003E6A25" w:rsidRPr="00CF6575" w:rsidRDefault="003E6A25" w:rsidP="003E6A25">
      <w:pPr>
        <w:spacing w:line="360" w:lineRule="auto"/>
        <w:jc w:val="both"/>
        <w:rPr>
          <w:sz w:val="22"/>
          <w:szCs w:val="22"/>
        </w:rPr>
      </w:pPr>
    </w:p>
    <w:p w:rsidR="003E6A25" w:rsidRPr="00CF6575" w:rsidRDefault="003E6A25" w:rsidP="003E6A25">
      <w:pPr>
        <w:spacing w:line="360" w:lineRule="auto"/>
        <w:jc w:val="both"/>
        <w:rPr>
          <w:sz w:val="22"/>
          <w:szCs w:val="22"/>
        </w:rPr>
      </w:pPr>
    </w:p>
    <w:p w:rsidR="003E6A25" w:rsidRPr="00CF6575" w:rsidRDefault="003E6A25" w:rsidP="003E6A25">
      <w:pPr>
        <w:spacing w:line="360" w:lineRule="auto"/>
        <w:jc w:val="both"/>
        <w:rPr>
          <w:sz w:val="22"/>
          <w:szCs w:val="22"/>
        </w:rPr>
      </w:pPr>
    </w:p>
    <w:p w:rsidR="003E6A25" w:rsidRPr="00CF6575" w:rsidRDefault="003E6A25" w:rsidP="003E6A25">
      <w:pPr>
        <w:spacing w:line="360" w:lineRule="auto"/>
        <w:jc w:val="both"/>
        <w:rPr>
          <w:sz w:val="22"/>
          <w:szCs w:val="22"/>
        </w:rPr>
      </w:pPr>
    </w:p>
    <w:p w:rsidR="003E6A25" w:rsidRPr="00CF6575" w:rsidRDefault="003E6A25" w:rsidP="003E6A25">
      <w:pPr>
        <w:spacing w:line="360" w:lineRule="auto"/>
        <w:jc w:val="both"/>
        <w:rPr>
          <w:sz w:val="22"/>
          <w:szCs w:val="22"/>
        </w:rPr>
      </w:pPr>
    </w:p>
    <w:p w:rsidR="003E6A25" w:rsidRPr="00CF6575" w:rsidRDefault="003E6A25" w:rsidP="003E6A25">
      <w:pPr>
        <w:spacing w:line="360" w:lineRule="auto"/>
        <w:jc w:val="both"/>
        <w:rPr>
          <w:sz w:val="22"/>
          <w:szCs w:val="22"/>
        </w:rPr>
      </w:pPr>
    </w:p>
    <w:p w:rsidR="003E6A25" w:rsidRPr="00CF6575" w:rsidRDefault="003E6A25" w:rsidP="003E6A25">
      <w:pPr>
        <w:spacing w:line="360" w:lineRule="auto"/>
        <w:jc w:val="both"/>
        <w:rPr>
          <w:sz w:val="22"/>
          <w:szCs w:val="22"/>
        </w:rPr>
      </w:pPr>
    </w:p>
    <w:p w:rsidR="003E6A25" w:rsidRPr="00CF6575" w:rsidRDefault="003E6A25" w:rsidP="003E6A25">
      <w:pPr>
        <w:spacing w:line="360" w:lineRule="auto"/>
        <w:jc w:val="both"/>
        <w:rPr>
          <w:sz w:val="22"/>
          <w:szCs w:val="22"/>
        </w:rPr>
      </w:pPr>
    </w:p>
    <w:p w:rsidR="00105753" w:rsidRPr="003E6A25" w:rsidRDefault="00105753" w:rsidP="00105753">
      <w:pPr>
        <w:pStyle w:val="ConsPlusNormal"/>
        <w:jc w:val="right"/>
        <w:rPr>
          <w:rFonts w:ascii="Times New Roman" w:hAnsi="Times New Roman" w:cs="Times New Roman"/>
          <w:sz w:val="16"/>
          <w:szCs w:val="16"/>
        </w:rPr>
      </w:pPr>
      <w:r w:rsidRPr="003E6A25">
        <w:rPr>
          <w:rFonts w:ascii="Times New Roman" w:hAnsi="Times New Roman" w:cs="Times New Roman"/>
          <w:sz w:val="16"/>
          <w:szCs w:val="16"/>
        </w:rPr>
        <w:lastRenderedPageBreak/>
        <w:t>Приложение</w:t>
      </w:r>
    </w:p>
    <w:p w:rsidR="00105753" w:rsidRPr="003E6A25" w:rsidRDefault="00105753" w:rsidP="00105753">
      <w:pPr>
        <w:pStyle w:val="ConsPlusNormal"/>
        <w:jc w:val="right"/>
        <w:rPr>
          <w:rFonts w:ascii="Times New Roman" w:hAnsi="Times New Roman" w:cs="Times New Roman"/>
          <w:sz w:val="16"/>
          <w:szCs w:val="16"/>
        </w:rPr>
      </w:pPr>
      <w:r w:rsidRPr="003E6A25">
        <w:rPr>
          <w:rFonts w:ascii="Times New Roman" w:hAnsi="Times New Roman" w:cs="Times New Roman"/>
          <w:sz w:val="16"/>
          <w:szCs w:val="16"/>
        </w:rPr>
        <w:t>к постановлению</w:t>
      </w:r>
    </w:p>
    <w:p w:rsidR="00105753" w:rsidRPr="003E6A25" w:rsidRDefault="00105753" w:rsidP="00105753">
      <w:pPr>
        <w:pStyle w:val="ConsPlusNormal"/>
        <w:jc w:val="right"/>
        <w:rPr>
          <w:rFonts w:ascii="Times New Roman" w:hAnsi="Times New Roman" w:cs="Times New Roman"/>
          <w:sz w:val="16"/>
          <w:szCs w:val="16"/>
        </w:rPr>
      </w:pPr>
      <w:r w:rsidRPr="003E6A25">
        <w:rPr>
          <w:rFonts w:ascii="Times New Roman" w:hAnsi="Times New Roman" w:cs="Times New Roman"/>
          <w:sz w:val="16"/>
          <w:szCs w:val="16"/>
        </w:rPr>
        <w:t>Государственного комитета</w:t>
      </w:r>
    </w:p>
    <w:p w:rsidR="00105753" w:rsidRPr="003E6A25" w:rsidRDefault="00105753" w:rsidP="00105753">
      <w:pPr>
        <w:pStyle w:val="ConsPlusNormal"/>
        <w:jc w:val="right"/>
        <w:rPr>
          <w:rFonts w:ascii="Times New Roman" w:hAnsi="Times New Roman" w:cs="Times New Roman"/>
          <w:sz w:val="16"/>
          <w:szCs w:val="16"/>
        </w:rPr>
      </w:pPr>
      <w:r w:rsidRPr="003E6A25">
        <w:rPr>
          <w:rFonts w:ascii="Times New Roman" w:hAnsi="Times New Roman" w:cs="Times New Roman"/>
          <w:sz w:val="16"/>
          <w:szCs w:val="16"/>
        </w:rPr>
        <w:t>Республики Карелия</w:t>
      </w:r>
    </w:p>
    <w:p w:rsidR="00105753" w:rsidRPr="003E6A25" w:rsidRDefault="00105753" w:rsidP="00105753">
      <w:pPr>
        <w:pStyle w:val="ConsPlusNormal"/>
        <w:jc w:val="right"/>
        <w:rPr>
          <w:rFonts w:ascii="Times New Roman" w:hAnsi="Times New Roman" w:cs="Times New Roman"/>
          <w:sz w:val="16"/>
          <w:szCs w:val="16"/>
        </w:rPr>
      </w:pPr>
      <w:r w:rsidRPr="003E6A25">
        <w:rPr>
          <w:rFonts w:ascii="Times New Roman" w:hAnsi="Times New Roman" w:cs="Times New Roman"/>
          <w:sz w:val="16"/>
          <w:szCs w:val="16"/>
        </w:rPr>
        <w:t>по ценам и тарифам</w:t>
      </w:r>
    </w:p>
    <w:p w:rsidR="00105753" w:rsidRPr="003E6A25" w:rsidRDefault="00105753" w:rsidP="00105753">
      <w:pPr>
        <w:pStyle w:val="ConsPlusNormal"/>
        <w:jc w:val="right"/>
        <w:rPr>
          <w:rFonts w:ascii="Times New Roman" w:hAnsi="Times New Roman" w:cs="Times New Roman"/>
          <w:sz w:val="16"/>
          <w:szCs w:val="16"/>
        </w:rPr>
      </w:pPr>
      <w:r w:rsidRPr="003E6A25">
        <w:rPr>
          <w:rFonts w:ascii="Times New Roman" w:hAnsi="Times New Roman" w:cs="Times New Roman"/>
          <w:sz w:val="16"/>
          <w:szCs w:val="16"/>
        </w:rPr>
        <w:t>от 30 декабря 2015 года N 310</w:t>
      </w:r>
    </w:p>
    <w:p w:rsidR="00105753" w:rsidRPr="003E6A25" w:rsidRDefault="00105753" w:rsidP="00105753">
      <w:pPr>
        <w:autoSpaceDE w:val="0"/>
        <w:autoSpaceDN w:val="0"/>
        <w:adjustRightInd w:val="0"/>
        <w:jc w:val="center"/>
        <w:outlineLvl w:val="0"/>
        <w:rPr>
          <w:bCs/>
          <w:sz w:val="16"/>
          <w:szCs w:val="16"/>
        </w:rPr>
      </w:pPr>
    </w:p>
    <w:p w:rsidR="00105753" w:rsidRPr="003E6A25" w:rsidRDefault="00105753" w:rsidP="00105753">
      <w:pPr>
        <w:pStyle w:val="ConsPlusTitle"/>
        <w:jc w:val="center"/>
        <w:rPr>
          <w:rFonts w:ascii="Times New Roman" w:hAnsi="Times New Roman" w:cs="Times New Roman"/>
          <w:b w:val="0"/>
          <w:sz w:val="16"/>
          <w:szCs w:val="16"/>
        </w:rPr>
      </w:pPr>
    </w:p>
    <w:p w:rsidR="00105753" w:rsidRPr="003E6A25" w:rsidRDefault="00105753" w:rsidP="00105753">
      <w:pPr>
        <w:pStyle w:val="ConsPlusTitle"/>
        <w:jc w:val="center"/>
        <w:rPr>
          <w:rFonts w:ascii="Times New Roman" w:hAnsi="Times New Roman" w:cs="Times New Roman"/>
          <w:b w:val="0"/>
          <w:sz w:val="20"/>
        </w:rPr>
      </w:pPr>
      <w:r w:rsidRPr="003E6A25">
        <w:rPr>
          <w:rFonts w:ascii="Times New Roman" w:hAnsi="Times New Roman" w:cs="Times New Roman"/>
          <w:b w:val="0"/>
          <w:sz w:val="20"/>
        </w:rPr>
        <w:t>ЕДИНЫЕ (КОТЛОВЫЕ) ТАРИФЫ</w:t>
      </w:r>
    </w:p>
    <w:p w:rsidR="00105753" w:rsidRPr="003E6A25" w:rsidRDefault="00105753" w:rsidP="00105753">
      <w:pPr>
        <w:pStyle w:val="ConsPlusTitle"/>
        <w:jc w:val="center"/>
        <w:rPr>
          <w:rFonts w:ascii="Times New Roman" w:hAnsi="Times New Roman" w:cs="Times New Roman"/>
          <w:b w:val="0"/>
          <w:sz w:val="20"/>
        </w:rPr>
      </w:pPr>
      <w:r w:rsidRPr="003E6A25">
        <w:rPr>
          <w:rFonts w:ascii="Times New Roman" w:hAnsi="Times New Roman" w:cs="Times New Roman"/>
          <w:b w:val="0"/>
          <w:sz w:val="20"/>
        </w:rPr>
        <w:t>НА УСЛУГИ ПО ПЕРЕДАЧЕ ЭЛЕКТРИЧЕСКОЙ ЭНЕРГИИ ПО СЕТЯМ</w:t>
      </w:r>
      <w:r w:rsidR="003E6A25" w:rsidRPr="003E6A25">
        <w:rPr>
          <w:rFonts w:ascii="Times New Roman" w:hAnsi="Times New Roman" w:cs="Times New Roman"/>
          <w:b w:val="0"/>
          <w:sz w:val="20"/>
        </w:rPr>
        <w:t xml:space="preserve"> </w:t>
      </w:r>
      <w:r w:rsidRPr="003E6A25">
        <w:rPr>
          <w:rFonts w:ascii="Times New Roman" w:hAnsi="Times New Roman" w:cs="Times New Roman"/>
          <w:b w:val="0"/>
          <w:sz w:val="20"/>
        </w:rPr>
        <w:t>РЕСПУБЛИКИ КАРЕЛИЯ, ПОСТАВЛЯЕМОЙ ПРОЧИМ ПОТРЕБИТЕЛЯМ, НА 2016 ГОД</w:t>
      </w:r>
    </w:p>
    <w:p w:rsidR="00105753" w:rsidRPr="00EE5792" w:rsidRDefault="00105753" w:rsidP="00105753">
      <w:pPr>
        <w:pStyle w:val="ConsPlusTitle"/>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85"/>
        <w:gridCol w:w="7198"/>
        <w:gridCol w:w="1648"/>
        <w:gridCol w:w="974"/>
        <w:gridCol w:w="1291"/>
        <w:gridCol w:w="1105"/>
        <w:gridCol w:w="1071"/>
        <w:gridCol w:w="1105"/>
      </w:tblGrid>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 xml:space="preserve">N </w:t>
            </w:r>
            <w:proofErr w:type="gramStart"/>
            <w:r w:rsidRPr="003E6A25">
              <w:rPr>
                <w:rFonts w:ascii="Times New Roman" w:hAnsi="Times New Roman" w:cs="Times New Roman"/>
              </w:rPr>
              <w:t>п</w:t>
            </w:r>
            <w:proofErr w:type="gramEnd"/>
            <w:r w:rsidRPr="003E6A25">
              <w:rPr>
                <w:rFonts w:ascii="Times New Roman" w:hAnsi="Times New Roman" w:cs="Times New Roman"/>
              </w:rPr>
              <w:t>/п</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Тарифные группы потребителей электрической энергии (мощности)</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Единица измерения</w:t>
            </w:r>
          </w:p>
        </w:tc>
        <w:tc>
          <w:tcPr>
            <w:tcW w:w="0" w:type="auto"/>
            <w:gridSpan w:val="5"/>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Диапазоны напряжения</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p>
        </w:tc>
        <w:tc>
          <w:tcPr>
            <w:tcW w:w="0" w:type="auto"/>
            <w:vAlign w:val="center"/>
          </w:tcPr>
          <w:p w:rsidR="00105753" w:rsidRPr="003E6A25" w:rsidRDefault="00105753" w:rsidP="0017784C">
            <w:pPr>
              <w:pStyle w:val="ConsPlusNormal"/>
              <w:jc w:val="center"/>
              <w:rPr>
                <w:rFonts w:ascii="Times New Roman" w:hAnsi="Times New Roman" w:cs="Times New Roman"/>
              </w:rPr>
            </w:pPr>
          </w:p>
        </w:tc>
        <w:tc>
          <w:tcPr>
            <w:tcW w:w="0" w:type="auto"/>
          </w:tcPr>
          <w:p w:rsidR="00105753" w:rsidRPr="003E6A25" w:rsidRDefault="00105753" w:rsidP="0017784C">
            <w:pPr>
              <w:pStyle w:val="ConsPlusNormal"/>
              <w:jc w:val="center"/>
              <w:rPr>
                <w:rFonts w:ascii="Times New Roman" w:hAnsi="Times New Roman" w:cs="Times New Roman"/>
              </w:rPr>
            </w:pP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всего</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ВН-1</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ВН</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СН-</w:t>
            </w:r>
            <w:proofErr w:type="gramStart"/>
            <w:r w:rsidRPr="003E6A25">
              <w:rPr>
                <w:rFonts w:ascii="Times New Roman" w:hAnsi="Times New Roman" w:cs="Times New Roman"/>
              </w:rPr>
              <w:t>I</w:t>
            </w:r>
            <w:proofErr w:type="gramEnd"/>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СН-</w:t>
            </w:r>
            <w:proofErr w:type="gramStart"/>
            <w:r w:rsidRPr="003E6A25">
              <w:rPr>
                <w:rFonts w:ascii="Times New Roman" w:hAnsi="Times New Roman" w:cs="Times New Roman"/>
              </w:rPr>
              <w:t>II</w:t>
            </w:r>
            <w:proofErr w:type="gramEnd"/>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w:t>
            </w:r>
          </w:p>
        </w:tc>
        <w:tc>
          <w:tcPr>
            <w:tcW w:w="0" w:type="auto"/>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3</w:t>
            </w:r>
          </w:p>
        </w:tc>
        <w:tc>
          <w:tcPr>
            <w:tcW w:w="0" w:type="auto"/>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4</w:t>
            </w:r>
          </w:p>
        </w:tc>
        <w:tc>
          <w:tcPr>
            <w:tcW w:w="0" w:type="auto"/>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5</w:t>
            </w:r>
          </w:p>
        </w:tc>
        <w:tc>
          <w:tcPr>
            <w:tcW w:w="0" w:type="auto"/>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6</w:t>
            </w:r>
          </w:p>
        </w:tc>
        <w:tc>
          <w:tcPr>
            <w:tcW w:w="0" w:type="auto"/>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7</w:t>
            </w:r>
          </w:p>
        </w:tc>
        <w:tc>
          <w:tcPr>
            <w:tcW w:w="0" w:type="auto"/>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8</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w:t>
            </w:r>
          </w:p>
        </w:tc>
        <w:tc>
          <w:tcPr>
            <w:tcW w:w="0" w:type="auto"/>
            <w:gridSpan w:val="2"/>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Прочие потребители (тарифы указываются без учета НДС)</w:t>
            </w:r>
          </w:p>
        </w:tc>
        <w:tc>
          <w:tcPr>
            <w:tcW w:w="0" w:type="auto"/>
            <w:gridSpan w:val="5"/>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I полугодие 2016 года</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1.1.</w:t>
            </w:r>
          </w:p>
        </w:tc>
        <w:tc>
          <w:tcPr>
            <w:tcW w:w="0" w:type="auto"/>
            <w:gridSpan w:val="7"/>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Двухставочный тариф</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1.1.1.</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Ставка за содержание электрических сетей</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руб./МВт</w:t>
            </w:r>
            <w:proofErr w:type="gramStart"/>
            <w:r w:rsidRPr="003E6A25">
              <w:rPr>
                <w:rFonts w:ascii="Times New Roman" w:hAnsi="Times New Roman" w:cs="Times New Roman"/>
              </w:rPr>
              <w:t>.м</w:t>
            </w:r>
            <w:proofErr w:type="gramEnd"/>
            <w:r w:rsidRPr="003E6A25">
              <w:rPr>
                <w:rFonts w:ascii="Times New Roman" w:hAnsi="Times New Roman" w:cs="Times New Roman"/>
              </w:rPr>
              <w:t>ес.</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Т</w:t>
            </w:r>
            <w:r w:rsidRPr="003E6A25">
              <w:rPr>
                <w:rFonts w:ascii="Times New Roman" w:hAnsi="Times New Roman" w:cs="Times New Roman"/>
                <w:vertAlign w:val="superscript"/>
              </w:rPr>
              <w:t>ФСК</w:t>
            </w:r>
            <w:r w:rsidRPr="003E6A25">
              <w:rPr>
                <w:rFonts w:ascii="Times New Roman" w:hAnsi="Times New Roman" w:cs="Times New Roman"/>
                <w:vertAlign w:val="subscript"/>
              </w:rPr>
              <w:t>СОД</w:t>
            </w:r>
            <w:r w:rsidRPr="003E6A25">
              <w:rPr>
                <w:rFonts w:ascii="Times New Roman" w:hAnsi="Times New Roman" w:cs="Times New Roman"/>
              </w:rPr>
              <w:t xml:space="preserve"> +</w:t>
            </w:r>
          </w:p>
          <w:p w:rsidR="00105753" w:rsidRPr="003E6A25" w:rsidRDefault="00105753" w:rsidP="0017784C">
            <w:pPr>
              <w:pStyle w:val="ConsPlusNormal"/>
              <w:jc w:val="center"/>
              <w:rPr>
                <w:rFonts w:ascii="Times New Roman" w:hAnsi="Times New Roman" w:cs="Times New Roman"/>
              </w:rPr>
            </w:pPr>
            <w:proofErr w:type="gramStart"/>
            <w:r w:rsidRPr="003E6A25">
              <w:rPr>
                <w:rFonts w:ascii="Times New Roman" w:hAnsi="Times New Roman" w:cs="Times New Roman"/>
              </w:rPr>
              <w:t>(199,32 x</w:t>
            </w:r>
            <w:proofErr w:type="gramEnd"/>
          </w:p>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Э</w:t>
            </w:r>
            <w:r w:rsidRPr="003E6A25">
              <w:rPr>
                <w:rFonts w:ascii="Times New Roman" w:hAnsi="Times New Roman" w:cs="Times New Roman"/>
                <w:vertAlign w:val="superscript"/>
              </w:rPr>
              <w:t>ВН1</w:t>
            </w:r>
            <w:r w:rsidRPr="003E6A25">
              <w:rPr>
                <w:rFonts w:ascii="Times New Roman" w:hAnsi="Times New Roman" w:cs="Times New Roman"/>
                <w:vertAlign w:val="subscript"/>
              </w:rPr>
              <w:t>по</w:t>
            </w:r>
            <w:r w:rsidRPr="003E6A25">
              <w:rPr>
                <w:rFonts w:ascii="Times New Roman" w:hAnsi="Times New Roman" w:cs="Times New Roman"/>
              </w:rPr>
              <w:t xml:space="preserve"> / Э</w:t>
            </w:r>
            <w:r w:rsidRPr="003E6A25">
              <w:rPr>
                <w:rFonts w:ascii="Times New Roman" w:hAnsi="Times New Roman" w:cs="Times New Roman"/>
                <w:vertAlign w:val="superscript"/>
              </w:rPr>
              <w:t>ВН1</w:t>
            </w:r>
            <w:r w:rsidRPr="003E6A25">
              <w:rPr>
                <w:rFonts w:ascii="Times New Roman" w:hAnsi="Times New Roman" w:cs="Times New Roman"/>
                <w:vertAlign w:val="subscript"/>
              </w:rPr>
              <w:t>М</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1 023 560,21</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1 637 576,89</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1 692 676,37</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1.1.2.</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Ставка на оплату технологического расхода (потерь) в электрических сетях</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руб./МВт</w:t>
            </w:r>
            <w:proofErr w:type="gramStart"/>
            <w:r w:rsidRPr="003E6A25">
              <w:rPr>
                <w:rFonts w:ascii="Times New Roman" w:hAnsi="Times New Roman" w:cs="Times New Roman"/>
              </w:rPr>
              <w:t>.ч</w:t>
            </w:r>
            <w:proofErr w:type="gramEnd"/>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Т</w:t>
            </w:r>
            <w:r w:rsidRPr="003E6A25">
              <w:rPr>
                <w:rFonts w:ascii="Times New Roman" w:hAnsi="Times New Roman" w:cs="Times New Roman"/>
                <w:vertAlign w:val="superscript"/>
              </w:rPr>
              <w:t>ФСК</w:t>
            </w:r>
            <w:r w:rsidRPr="003E6A25">
              <w:rPr>
                <w:rFonts w:ascii="Times New Roman" w:hAnsi="Times New Roman" w:cs="Times New Roman"/>
                <w:vertAlign w:val="subscript"/>
              </w:rPr>
              <w:t>пот</w:t>
            </w:r>
            <w:r w:rsidRPr="003E6A25">
              <w:rPr>
                <w:rFonts w:ascii="Times New Roman" w:hAnsi="Times New Roman" w:cs="Times New Roman"/>
              </w:rPr>
              <w:t xml:space="preserve"> x НПТЭ</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128,83</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244,35</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370,64</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1.2.</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Одноставочный тариф</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руб./кВт</w:t>
            </w:r>
            <w:proofErr w:type="gramStart"/>
            <w:r w:rsidRPr="003E6A25">
              <w:rPr>
                <w:rFonts w:ascii="Times New Roman" w:hAnsi="Times New Roman" w:cs="Times New Roman"/>
              </w:rPr>
              <w:t>.ч</w:t>
            </w:r>
            <w:proofErr w:type="gramEnd"/>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1,27521</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3,85644</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3,92672</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1.3.</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Величина перекрестного субсидирования, учтенная в ценах (тарифах) на услуги по передаче электрической энергии</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тыс. руб.</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896525,09</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207734,00</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91038,01</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55223,71</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311594,12</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1.4.</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Ставка перекрестного субсидирования</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руб./МВт</w:t>
            </w:r>
            <w:proofErr w:type="gramStart"/>
            <w:r w:rsidRPr="003E6A25">
              <w:rPr>
                <w:rFonts w:ascii="Times New Roman" w:hAnsi="Times New Roman" w:cs="Times New Roman"/>
              </w:rPr>
              <w:t>.ч</w:t>
            </w:r>
            <w:proofErr w:type="gramEnd"/>
          </w:p>
        </w:tc>
        <w:tc>
          <w:tcPr>
            <w:tcW w:w="0" w:type="auto"/>
            <w:vAlign w:val="center"/>
          </w:tcPr>
          <w:p w:rsidR="00105753" w:rsidRPr="003E6A25" w:rsidRDefault="00105753" w:rsidP="0017784C">
            <w:pPr>
              <w:pStyle w:val="ConsPlusNormal"/>
              <w:jc w:val="center"/>
              <w:rPr>
                <w:rFonts w:ascii="Times New Roman" w:hAnsi="Times New Roman" w:cs="Times New Roman"/>
              </w:rPr>
            </w:pP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199,32</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136,51</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1 231,47</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1 670,39</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w:t>
            </w:r>
          </w:p>
        </w:tc>
        <w:tc>
          <w:tcPr>
            <w:tcW w:w="0" w:type="auto"/>
            <w:gridSpan w:val="2"/>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Прочие потребители (тарифы указываются без учета НДС)</w:t>
            </w:r>
          </w:p>
        </w:tc>
        <w:tc>
          <w:tcPr>
            <w:tcW w:w="0" w:type="auto"/>
            <w:gridSpan w:val="5"/>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II полугодие 2016 года</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2.1.</w:t>
            </w:r>
          </w:p>
        </w:tc>
        <w:tc>
          <w:tcPr>
            <w:tcW w:w="0" w:type="auto"/>
            <w:gridSpan w:val="7"/>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Двухставочный тариф</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2.1.1.</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Ставка за содержание электрических сетей</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руб./МВт</w:t>
            </w:r>
            <w:proofErr w:type="gramStart"/>
            <w:r w:rsidRPr="003E6A25">
              <w:rPr>
                <w:rFonts w:ascii="Times New Roman" w:hAnsi="Times New Roman" w:cs="Times New Roman"/>
              </w:rPr>
              <w:t>.м</w:t>
            </w:r>
            <w:proofErr w:type="gramEnd"/>
            <w:r w:rsidRPr="003E6A25">
              <w:rPr>
                <w:rFonts w:ascii="Times New Roman" w:hAnsi="Times New Roman" w:cs="Times New Roman"/>
              </w:rPr>
              <w:t>ес.</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Т</w:t>
            </w:r>
            <w:r w:rsidRPr="003E6A25">
              <w:rPr>
                <w:rFonts w:ascii="Times New Roman" w:hAnsi="Times New Roman" w:cs="Times New Roman"/>
                <w:vertAlign w:val="superscript"/>
              </w:rPr>
              <w:t>ФСК</w:t>
            </w:r>
            <w:r w:rsidRPr="003E6A25">
              <w:rPr>
                <w:rFonts w:ascii="Times New Roman" w:hAnsi="Times New Roman" w:cs="Times New Roman"/>
                <w:vertAlign w:val="subscript"/>
              </w:rPr>
              <w:t>СОД</w:t>
            </w:r>
            <w:r w:rsidRPr="003E6A25">
              <w:rPr>
                <w:rFonts w:ascii="Times New Roman" w:hAnsi="Times New Roman" w:cs="Times New Roman"/>
              </w:rPr>
              <w:t xml:space="preserve"> +</w:t>
            </w:r>
          </w:p>
          <w:p w:rsidR="00105753" w:rsidRPr="003E6A25" w:rsidRDefault="00105753" w:rsidP="0017784C">
            <w:pPr>
              <w:pStyle w:val="ConsPlusNormal"/>
              <w:jc w:val="center"/>
              <w:rPr>
                <w:rFonts w:ascii="Times New Roman" w:hAnsi="Times New Roman" w:cs="Times New Roman"/>
              </w:rPr>
            </w:pPr>
            <w:proofErr w:type="gramStart"/>
            <w:r w:rsidRPr="003E6A25">
              <w:rPr>
                <w:rFonts w:ascii="Times New Roman" w:hAnsi="Times New Roman" w:cs="Times New Roman"/>
              </w:rPr>
              <w:t>(99,66 x</w:t>
            </w:r>
            <w:proofErr w:type="gramEnd"/>
          </w:p>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Э</w:t>
            </w:r>
            <w:r w:rsidRPr="003E6A25">
              <w:rPr>
                <w:rFonts w:ascii="Times New Roman" w:hAnsi="Times New Roman" w:cs="Times New Roman"/>
                <w:vertAlign w:val="superscript"/>
              </w:rPr>
              <w:t>ВН1</w:t>
            </w:r>
            <w:r w:rsidRPr="003E6A25">
              <w:rPr>
                <w:rFonts w:ascii="Times New Roman" w:hAnsi="Times New Roman" w:cs="Times New Roman"/>
                <w:vertAlign w:val="subscript"/>
              </w:rPr>
              <w:t>по</w:t>
            </w:r>
            <w:r w:rsidRPr="003E6A25">
              <w:rPr>
                <w:rFonts w:ascii="Times New Roman" w:hAnsi="Times New Roman" w:cs="Times New Roman"/>
              </w:rPr>
              <w:t xml:space="preserve"> / Э</w:t>
            </w:r>
            <w:r w:rsidRPr="003E6A25">
              <w:rPr>
                <w:rFonts w:ascii="Times New Roman" w:hAnsi="Times New Roman" w:cs="Times New Roman"/>
                <w:vertAlign w:val="superscript"/>
              </w:rPr>
              <w:t>ВН1</w:t>
            </w:r>
            <w:r w:rsidRPr="003E6A25">
              <w:rPr>
                <w:rFonts w:ascii="Times New Roman" w:hAnsi="Times New Roman" w:cs="Times New Roman"/>
                <w:vertAlign w:val="subscript"/>
              </w:rPr>
              <w:t>М</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1 177 094,24</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1 883 213,42</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1 946 577,83</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lastRenderedPageBreak/>
              <w:t>2.1.2.</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Ставка на оплату технологического расхода (потерь) в электрических сетях</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руб./МВт</w:t>
            </w:r>
            <w:proofErr w:type="gramStart"/>
            <w:r w:rsidRPr="003E6A25">
              <w:rPr>
                <w:rFonts w:ascii="Times New Roman" w:hAnsi="Times New Roman" w:cs="Times New Roman"/>
              </w:rPr>
              <w:t>.ч</w:t>
            </w:r>
            <w:proofErr w:type="gramEnd"/>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Т</w:t>
            </w:r>
            <w:r w:rsidRPr="003E6A25">
              <w:rPr>
                <w:rFonts w:ascii="Times New Roman" w:hAnsi="Times New Roman" w:cs="Times New Roman"/>
                <w:vertAlign w:val="superscript"/>
              </w:rPr>
              <w:t>ФСК</w:t>
            </w:r>
            <w:r w:rsidRPr="003E6A25">
              <w:rPr>
                <w:rFonts w:ascii="Times New Roman" w:hAnsi="Times New Roman" w:cs="Times New Roman"/>
                <w:vertAlign w:val="subscript"/>
              </w:rPr>
              <w:t>пот</w:t>
            </w:r>
            <w:r w:rsidRPr="003E6A25">
              <w:rPr>
                <w:rFonts w:ascii="Times New Roman" w:hAnsi="Times New Roman" w:cs="Times New Roman"/>
              </w:rPr>
              <w:t xml:space="preserve"> x</w:t>
            </w:r>
          </w:p>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НПТЭ</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148,15</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281,00</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426,24</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02.2.</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Одноставочный тариф</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руб./кВт</w:t>
            </w:r>
            <w:proofErr w:type="gramStart"/>
            <w:r w:rsidRPr="003E6A25">
              <w:rPr>
                <w:rFonts w:ascii="Times New Roman" w:hAnsi="Times New Roman" w:cs="Times New Roman"/>
              </w:rPr>
              <w:t>.ч</w:t>
            </w:r>
            <w:proofErr w:type="gramEnd"/>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1,46649</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4,43514</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4,51573</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2.3.</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Величина перекрестного субсидирования, учтенная в ценах (тарифах) на услуги по передаче электрической энергии</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тыс. руб.</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898008,23</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103710,65</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187273,13</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51798,15</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322258,84</w:t>
            </w:r>
          </w:p>
        </w:tc>
      </w:tr>
      <w:tr w:rsidR="00105753" w:rsidRPr="003E6A25" w:rsidTr="0017784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2.4.</w:t>
            </w:r>
          </w:p>
        </w:tc>
        <w:tc>
          <w:tcPr>
            <w:tcW w:w="0" w:type="auto"/>
            <w:vAlign w:val="center"/>
          </w:tcPr>
          <w:p w:rsidR="00105753" w:rsidRPr="003E6A25" w:rsidRDefault="00105753" w:rsidP="0017784C">
            <w:pPr>
              <w:pStyle w:val="ConsPlusNormal"/>
              <w:rPr>
                <w:rFonts w:ascii="Times New Roman" w:hAnsi="Times New Roman" w:cs="Times New Roman"/>
              </w:rPr>
            </w:pPr>
            <w:r w:rsidRPr="003E6A25">
              <w:rPr>
                <w:rFonts w:ascii="Times New Roman" w:hAnsi="Times New Roman" w:cs="Times New Roman"/>
              </w:rPr>
              <w:t>Ставка перекрестного субсидирования</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руб./МВт</w:t>
            </w:r>
            <w:proofErr w:type="gramStart"/>
            <w:r w:rsidRPr="003E6A25">
              <w:rPr>
                <w:rFonts w:ascii="Times New Roman" w:hAnsi="Times New Roman" w:cs="Times New Roman"/>
              </w:rPr>
              <w:t>.ч</w:t>
            </w:r>
            <w:proofErr w:type="gramEnd"/>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x</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99,66</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298,26</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1 489,63</w:t>
            </w:r>
          </w:p>
        </w:tc>
        <w:tc>
          <w:tcPr>
            <w:tcW w:w="0" w:type="auto"/>
            <w:vAlign w:val="center"/>
          </w:tcPr>
          <w:p w:rsidR="00105753" w:rsidRPr="003E6A25" w:rsidRDefault="00105753" w:rsidP="0017784C">
            <w:pPr>
              <w:pStyle w:val="ConsPlusNormal"/>
              <w:jc w:val="center"/>
              <w:rPr>
                <w:rFonts w:ascii="Times New Roman" w:hAnsi="Times New Roman" w:cs="Times New Roman"/>
              </w:rPr>
            </w:pPr>
            <w:r w:rsidRPr="003E6A25">
              <w:rPr>
                <w:rFonts w:ascii="Times New Roman" w:hAnsi="Times New Roman" w:cs="Times New Roman"/>
              </w:rPr>
              <w:t>2 135,99</w:t>
            </w:r>
          </w:p>
        </w:tc>
      </w:tr>
    </w:tbl>
    <w:p w:rsidR="00105753" w:rsidRPr="00EE5792" w:rsidRDefault="00105753" w:rsidP="00105753">
      <w:pPr>
        <w:pStyle w:val="ConsPlusNormal"/>
        <w:jc w:val="center"/>
        <w:rPr>
          <w:rFonts w:ascii="Times New Roman" w:hAnsi="Times New Roman" w:cs="Times New Roman"/>
        </w:rPr>
      </w:pPr>
    </w:p>
    <w:p w:rsidR="00105753" w:rsidRPr="003E6A25" w:rsidRDefault="00105753" w:rsidP="003E6A25">
      <w:pPr>
        <w:widowControl w:val="0"/>
        <w:autoSpaceDE w:val="0"/>
        <w:autoSpaceDN w:val="0"/>
        <w:adjustRightInd w:val="0"/>
        <w:spacing w:line="360" w:lineRule="auto"/>
        <w:ind w:firstLine="540"/>
        <w:jc w:val="both"/>
        <w:rPr>
          <w:sz w:val="22"/>
          <w:szCs w:val="22"/>
        </w:rPr>
      </w:pPr>
      <w:r w:rsidRPr="003E6A25">
        <w:rPr>
          <w:sz w:val="22"/>
          <w:szCs w:val="22"/>
        </w:rPr>
        <w:t>ТФСКСОД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на 2016 год, руб./МВт в месяц;</w:t>
      </w:r>
    </w:p>
    <w:p w:rsidR="00105753" w:rsidRPr="003E6A25" w:rsidRDefault="00105753" w:rsidP="003E6A25">
      <w:pPr>
        <w:widowControl w:val="0"/>
        <w:autoSpaceDE w:val="0"/>
        <w:autoSpaceDN w:val="0"/>
        <w:adjustRightInd w:val="0"/>
        <w:spacing w:line="360" w:lineRule="auto"/>
        <w:ind w:firstLine="540"/>
        <w:jc w:val="both"/>
        <w:rPr>
          <w:sz w:val="22"/>
          <w:szCs w:val="22"/>
        </w:rPr>
      </w:pPr>
      <w:r w:rsidRPr="003E6A25">
        <w:rPr>
          <w:sz w:val="22"/>
          <w:szCs w:val="22"/>
        </w:rPr>
        <w:t>ТФСКпот - ставка тарифа на оплату нормативных потерь электрической энергии при ее передаче по сетям единой национальной (общероссийской) электрической сети на 2016 год, руб./МВт</w:t>
      </w:r>
      <w:proofErr w:type="gramStart"/>
      <w:r w:rsidRPr="003E6A25">
        <w:rPr>
          <w:sz w:val="22"/>
          <w:szCs w:val="22"/>
        </w:rPr>
        <w:t>.ч</w:t>
      </w:r>
      <w:proofErr w:type="gramEnd"/>
      <w:r w:rsidRPr="003E6A25">
        <w:rPr>
          <w:sz w:val="22"/>
          <w:szCs w:val="22"/>
        </w:rPr>
        <w:t>;</w:t>
      </w:r>
    </w:p>
    <w:p w:rsidR="00105753" w:rsidRPr="003E6A25" w:rsidRDefault="00105753" w:rsidP="003E6A25">
      <w:pPr>
        <w:widowControl w:val="0"/>
        <w:autoSpaceDE w:val="0"/>
        <w:autoSpaceDN w:val="0"/>
        <w:adjustRightInd w:val="0"/>
        <w:spacing w:line="360" w:lineRule="auto"/>
        <w:ind w:firstLine="540"/>
        <w:jc w:val="both"/>
        <w:rPr>
          <w:sz w:val="22"/>
          <w:szCs w:val="22"/>
        </w:rPr>
      </w:pPr>
      <w:r w:rsidRPr="003E6A25">
        <w:rPr>
          <w:sz w:val="22"/>
          <w:szCs w:val="22"/>
        </w:rPr>
        <w:t>ЭВН1по - объем полезного отпуска электрической энергии потребителя на уровне напряжения ВН1 за отчетный месяц 2016 года, МВт</w:t>
      </w:r>
      <w:proofErr w:type="gramStart"/>
      <w:r w:rsidRPr="003E6A25">
        <w:rPr>
          <w:sz w:val="22"/>
          <w:szCs w:val="22"/>
        </w:rPr>
        <w:t>.ч</w:t>
      </w:r>
      <w:proofErr w:type="gramEnd"/>
      <w:r w:rsidRPr="003E6A25">
        <w:rPr>
          <w:sz w:val="22"/>
          <w:szCs w:val="22"/>
        </w:rPr>
        <w:t>;</w:t>
      </w:r>
    </w:p>
    <w:p w:rsidR="00105753" w:rsidRPr="003E6A25" w:rsidRDefault="00105753" w:rsidP="003E6A25">
      <w:pPr>
        <w:widowControl w:val="0"/>
        <w:autoSpaceDE w:val="0"/>
        <w:autoSpaceDN w:val="0"/>
        <w:adjustRightInd w:val="0"/>
        <w:spacing w:line="360" w:lineRule="auto"/>
        <w:ind w:firstLine="540"/>
        <w:jc w:val="both"/>
        <w:rPr>
          <w:sz w:val="22"/>
          <w:szCs w:val="22"/>
        </w:rPr>
      </w:pPr>
      <w:r w:rsidRPr="003E6A25">
        <w:rPr>
          <w:sz w:val="22"/>
          <w:szCs w:val="22"/>
        </w:rPr>
        <w:t>ЭВН1М - объем мощности потребителя на уровне напряжения ВН</w:t>
      </w:r>
      <w:proofErr w:type="gramStart"/>
      <w:r w:rsidRPr="003E6A25">
        <w:rPr>
          <w:sz w:val="22"/>
          <w:szCs w:val="22"/>
        </w:rPr>
        <w:t>1</w:t>
      </w:r>
      <w:proofErr w:type="gramEnd"/>
      <w:r w:rsidRPr="003E6A25">
        <w:rPr>
          <w:sz w:val="22"/>
          <w:szCs w:val="22"/>
        </w:rPr>
        <w:t xml:space="preserve"> за отчетный месяц 2016 года, МВт;</w:t>
      </w:r>
    </w:p>
    <w:p w:rsidR="00105753" w:rsidRPr="003E6A25" w:rsidRDefault="00105753" w:rsidP="003E6A25">
      <w:pPr>
        <w:widowControl w:val="0"/>
        <w:autoSpaceDE w:val="0"/>
        <w:autoSpaceDN w:val="0"/>
        <w:adjustRightInd w:val="0"/>
        <w:spacing w:line="360" w:lineRule="auto"/>
        <w:ind w:firstLine="540"/>
        <w:jc w:val="both"/>
        <w:rPr>
          <w:sz w:val="22"/>
          <w:szCs w:val="22"/>
        </w:rPr>
      </w:pPr>
      <w:r w:rsidRPr="003E6A25">
        <w:rPr>
          <w:sz w:val="22"/>
          <w:szCs w:val="22"/>
        </w:rPr>
        <w:t xml:space="preserve">НТПЭ - норматив потерь электрической энергии при ее передаче по электрическим сетям единой национальной (общероссийской) электрической сети в соответствии с </w:t>
      </w:r>
      <w:hyperlink r:id="rId8" w:history="1">
        <w:r w:rsidRPr="003E6A25">
          <w:rPr>
            <w:sz w:val="22"/>
            <w:szCs w:val="22"/>
          </w:rPr>
          <w:t>п. 81(2)</w:t>
        </w:r>
      </w:hyperlink>
      <w:r w:rsidRPr="003E6A25">
        <w:rPr>
          <w:sz w:val="22"/>
          <w:szCs w:val="22"/>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N 1178.</w:t>
      </w:r>
    </w:p>
    <w:p w:rsidR="00105753" w:rsidRPr="003E6A25" w:rsidRDefault="00105753" w:rsidP="003E6A25">
      <w:pPr>
        <w:widowControl w:val="0"/>
        <w:autoSpaceDE w:val="0"/>
        <w:autoSpaceDN w:val="0"/>
        <w:adjustRightInd w:val="0"/>
        <w:spacing w:line="360" w:lineRule="auto"/>
        <w:ind w:firstLine="540"/>
        <w:jc w:val="both"/>
        <w:rPr>
          <w:sz w:val="22"/>
          <w:szCs w:val="22"/>
        </w:rPr>
      </w:pPr>
      <w:r w:rsidRPr="003E6A25">
        <w:rPr>
          <w:sz w:val="22"/>
          <w:szCs w:val="22"/>
        </w:rPr>
        <w:t>Примечание. Гарантирующие поставщики, сбытовые компании, а также потребители, заключившие с ними договоры купли-продажи электрической энергии (мощности), потребители - субъекты оптового рынка электрической энергии (мощности), оплачивают услуги по передаче электрической энергии (мощности) в адрес Филиала ПАО "МРСК Северо-Запада" "Карелэнерго" по установленным единым (котловым) тарифам.</w:t>
      </w:r>
    </w:p>
    <w:p w:rsidR="00105753" w:rsidRPr="00EE5792" w:rsidRDefault="00105753" w:rsidP="00105753">
      <w:pPr>
        <w:pStyle w:val="ConsPlusNormal"/>
        <w:ind w:firstLine="540"/>
        <w:jc w:val="both"/>
        <w:rPr>
          <w:rFonts w:ascii="Times New Roman" w:hAnsi="Times New Roman" w:cs="Times New Roman"/>
        </w:rPr>
      </w:pPr>
    </w:p>
    <w:p w:rsidR="00105753" w:rsidRPr="00CF6575" w:rsidRDefault="00105753"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3E6A25" w:rsidRPr="00CF6575" w:rsidRDefault="003E6A25" w:rsidP="00105753">
      <w:pPr>
        <w:pStyle w:val="ConsPlusNormal"/>
        <w:jc w:val="center"/>
        <w:rPr>
          <w:rFonts w:ascii="Times New Roman" w:hAnsi="Times New Roman" w:cs="Times New Roman"/>
        </w:rPr>
      </w:pPr>
    </w:p>
    <w:p w:rsidR="00105753" w:rsidRPr="003E6A25" w:rsidRDefault="00105753" w:rsidP="00105753">
      <w:pPr>
        <w:pStyle w:val="ConsPlusTitle"/>
        <w:jc w:val="center"/>
        <w:rPr>
          <w:rFonts w:ascii="Times New Roman" w:hAnsi="Times New Roman" w:cs="Times New Roman"/>
          <w:b w:val="0"/>
          <w:sz w:val="20"/>
        </w:rPr>
      </w:pPr>
      <w:r w:rsidRPr="003E6A25">
        <w:rPr>
          <w:rFonts w:ascii="Times New Roman" w:hAnsi="Times New Roman" w:cs="Times New Roman"/>
          <w:b w:val="0"/>
          <w:sz w:val="20"/>
        </w:rPr>
        <w:lastRenderedPageBreak/>
        <w:t>ЕДИНЫЕ (КОТЛОВЫЕ) ТАРИФЫ</w:t>
      </w:r>
    </w:p>
    <w:p w:rsidR="00105753" w:rsidRPr="003E6A25" w:rsidRDefault="00105753" w:rsidP="00105753">
      <w:pPr>
        <w:pStyle w:val="ConsPlusTitle"/>
        <w:jc w:val="center"/>
        <w:rPr>
          <w:rFonts w:ascii="Times New Roman" w:hAnsi="Times New Roman" w:cs="Times New Roman"/>
          <w:b w:val="0"/>
          <w:sz w:val="20"/>
        </w:rPr>
      </w:pPr>
      <w:r w:rsidRPr="003E6A25">
        <w:rPr>
          <w:rFonts w:ascii="Times New Roman" w:hAnsi="Times New Roman" w:cs="Times New Roman"/>
          <w:b w:val="0"/>
          <w:sz w:val="20"/>
        </w:rPr>
        <w:t>НА УСЛУГИ ПО ПЕРЕДАЧЕ ЭЛЕКТРИЧЕСКОЙ ЭНЕРГИИ ПО СЕТЯМ</w:t>
      </w:r>
    </w:p>
    <w:p w:rsidR="00105753" w:rsidRPr="003E6A25" w:rsidRDefault="00105753" w:rsidP="00105753">
      <w:pPr>
        <w:pStyle w:val="ConsPlusTitle"/>
        <w:jc w:val="center"/>
        <w:rPr>
          <w:rFonts w:ascii="Times New Roman" w:hAnsi="Times New Roman" w:cs="Times New Roman"/>
          <w:b w:val="0"/>
          <w:sz w:val="20"/>
        </w:rPr>
      </w:pPr>
      <w:r w:rsidRPr="003E6A25">
        <w:rPr>
          <w:rFonts w:ascii="Times New Roman" w:hAnsi="Times New Roman" w:cs="Times New Roman"/>
          <w:b w:val="0"/>
          <w:sz w:val="20"/>
        </w:rPr>
        <w:t>РЕСПУБЛИКИ КАРЕЛИЯ, ПОСТАВЛЯЕМОЙ НАСЕЛЕНИЮ И ПРИРАВНЕННЫМ</w:t>
      </w:r>
      <w:r w:rsidR="003E6A25" w:rsidRPr="003E6A25">
        <w:rPr>
          <w:rFonts w:ascii="Times New Roman" w:hAnsi="Times New Roman" w:cs="Times New Roman"/>
          <w:b w:val="0"/>
          <w:sz w:val="20"/>
        </w:rPr>
        <w:t xml:space="preserve"> </w:t>
      </w:r>
      <w:r w:rsidRPr="003E6A25">
        <w:rPr>
          <w:rFonts w:ascii="Times New Roman" w:hAnsi="Times New Roman" w:cs="Times New Roman"/>
          <w:b w:val="0"/>
          <w:sz w:val="20"/>
        </w:rPr>
        <w:t>К НЕМУ КАТЕГОРИЯМ ПОТРЕБИТЕЛЕЙ, НА 2016 ГОД</w:t>
      </w:r>
    </w:p>
    <w:p w:rsidR="00105753" w:rsidRPr="00EE5792" w:rsidRDefault="00105753" w:rsidP="0010575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8"/>
        <w:gridCol w:w="6168"/>
        <w:gridCol w:w="4536"/>
        <w:gridCol w:w="1701"/>
        <w:gridCol w:w="1843"/>
      </w:tblGrid>
      <w:tr w:rsidR="00105753" w:rsidRPr="00EE5792" w:rsidTr="00223A2B">
        <w:tc>
          <w:tcPr>
            <w:tcW w:w="69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 xml:space="preserve">N </w:t>
            </w:r>
            <w:proofErr w:type="spellStart"/>
            <w:proofErr w:type="gramStart"/>
            <w:r w:rsidRPr="00EE5792">
              <w:rPr>
                <w:rFonts w:ascii="Times New Roman" w:hAnsi="Times New Roman" w:cs="Times New Roman"/>
              </w:rPr>
              <w:t>п</w:t>
            </w:r>
            <w:proofErr w:type="spellEnd"/>
            <w:proofErr w:type="gramEnd"/>
            <w:r w:rsidRPr="00EE5792">
              <w:rPr>
                <w:rFonts w:ascii="Times New Roman" w:hAnsi="Times New Roman" w:cs="Times New Roman"/>
              </w:rPr>
              <w:t>/</w:t>
            </w:r>
            <w:proofErr w:type="spellStart"/>
            <w:r w:rsidRPr="00EE5792">
              <w:rPr>
                <w:rFonts w:ascii="Times New Roman" w:hAnsi="Times New Roman" w:cs="Times New Roman"/>
              </w:rPr>
              <w:t>п</w:t>
            </w:r>
            <w:proofErr w:type="spellEnd"/>
          </w:p>
        </w:tc>
        <w:tc>
          <w:tcPr>
            <w:tcW w:w="616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Тарифные группы потребителей электрической энергии (мощности)</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Единица измерения</w:t>
            </w:r>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I полугодие 2016 года</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II полугодие 2016 года</w:t>
            </w:r>
          </w:p>
        </w:tc>
      </w:tr>
      <w:tr w:rsidR="00105753" w:rsidRPr="00EE5792" w:rsidTr="00223A2B">
        <w:tc>
          <w:tcPr>
            <w:tcW w:w="69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w:t>
            </w:r>
          </w:p>
        </w:tc>
        <w:tc>
          <w:tcPr>
            <w:tcW w:w="616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2</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3</w:t>
            </w:r>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4</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5</w:t>
            </w:r>
          </w:p>
        </w:tc>
      </w:tr>
      <w:tr w:rsidR="00105753" w:rsidRPr="00EE5792" w:rsidTr="003E6A25">
        <w:tc>
          <w:tcPr>
            <w:tcW w:w="69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Население и приравненные к нему категории потребителей (тарифы указываются без учета НДС)</w:t>
            </w:r>
          </w:p>
        </w:tc>
      </w:tr>
      <w:tr w:rsidR="00105753" w:rsidRPr="00EE5792" w:rsidTr="003E6A25">
        <w:tc>
          <w:tcPr>
            <w:tcW w:w="698"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1.1.</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color w:val="000000" w:themeColor="text1"/>
              </w:rPr>
            </w:pPr>
            <w:r w:rsidRPr="00EE5792">
              <w:rPr>
                <w:rFonts w:ascii="Times New Roman" w:hAnsi="Times New Roman" w:cs="Times New Roman"/>
              </w:rPr>
              <w:t xml:space="preserve">Население и приравненные к нему категории потребителей, за исключением </w:t>
            </w:r>
            <w:proofErr w:type="gramStart"/>
            <w:r w:rsidRPr="00EE5792">
              <w:rPr>
                <w:rFonts w:ascii="Times New Roman" w:hAnsi="Times New Roman" w:cs="Times New Roman"/>
                <w:color w:val="000000" w:themeColor="text1"/>
              </w:rPr>
              <w:t>указанного</w:t>
            </w:r>
            <w:proofErr w:type="gramEnd"/>
            <w:r w:rsidRPr="00EE5792">
              <w:rPr>
                <w:rFonts w:ascii="Times New Roman" w:hAnsi="Times New Roman" w:cs="Times New Roman"/>
                <w:color w:val="000000" w:themeColor="text1"/>
              </w:rPr>
              <w:t xml:space="preserve"> в </w:t>
            </w:r>
            <w:hyperlink w:anchor="P207" w:history="1">
              <w:r w:rsidRPr="00EE5792">
                <w:rPr>
                  <w:rFonts w:ascii="Times New Roman" w:hAnsi="Times New Roman" w:cs="Times New Roman"/>
                  <w:color w:val="000000" w:themeColor="text1"/>
                </w:rPr>
                <w:t>пунктах 1.2</w:t>
              </w:r>
            </w:hyperlink>
            <w:r w:rsidRPr="00EE5792">
              <w:rPr>
                <w:rFonts w:ascii="Times New Roman" w:hAnsi="Times New Roman" w:cs="Times New Roman"/>
                <w:color w:val="000000" w:themeColor="text1"/>
              </w:rPr>
              <w:t xml:space="preserve"> и </w:t>
            </w:r>
            <w:hyperlink w:anchor="P217" w:history="1">
              <w:r w:rsidRPr="00EE5792">
                <w:rPr>
                  <w:rFonts w:ascii="Times New Roman" w:hAnsi="Times New Roman" w:cs="Times New Roman"/>
                  <w:color w:val="000000" w:themeColor="text1"/>
                </w:rPr>
                <w:t>1.3</w:t>
              </w:r>
            </w:hyperlink>
            <w:r w:rsidRPr="00EE5792">
              <w:rPr>
                <w:rFonts w:ascii="Times New Roman" w:hAnsi="Times New Roman" w:cs="Times New Roman"/>
                <w:color w:val="000000" w:themeColor="text1"/>
              </w:rPr>
              <w:t>:</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color w:val="000000" w:themeColor="text1"/>
              </w:rPr>
              <w:t>исполнители коммунальных услуг (товарищества собственников жилья, жилищно-строительные</w:t>
            </w:r>
            <w:r w:rsidRPr="00EE5792">
              <w:rPr>
                <w:rFonts w:ascii="Times New Roman" w:hAnsi="Times New Roman" w:cs="Times New Roman"/>
              </w:rPr>
              <w:t>,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105753" w:rsidRPr="00EE5792" w:rsidRDefault="00105753" w:rsidP="0017784C">
            <w:pPr>
              <w:pStyle w:val="ConsPlusNormal"/>
              <w:jc w:val="both"/>
              <w:rPr>
                <w:rFonts w:ascii="Times New Roman" w:hAnsi="Times New Roman" w:cs="Times New Roman"/>
              </w:rPr>
            </w:pPr>
            <w:proofErr w:type="gramStart"/>
            <w:r w:rsidRPr="00EE5792">
              <w:rPr>
                <w:rFonts w:ascii="Times New Roman" w:hAnsi="Times New Roman" w:cs="Times New Roman"/>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EE5792">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05753" w:rsidRPr="00EE5792" w:rsidTr="003E6A25">
        <w:tc>
          <w:tcPr>
            <w:tcW w:w="698" w:type="dxa"/>
            <w:vMerge/>
          </w:tcPr>
          <w:p w:rsidR="00105753" w:rsidRPr="00EE5792" w:rsidRDefault="00105753" w:rsidP="0017784C">
            <w:pPr>
              <w:rPr>
                <w:sz w:val="20"/>
                <w:szCs w:val="20"/>
              </w:rPr>
            </w:pP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w:t>
            </w:r>
            <w:r w:rsidRPr="00EE5792">
              <w:rPr>
                <w:rFonts w:ascii="Times New Roman" w:hAnsi="Times New Roman" w:cs="Times New Roman"/>
                <w:color w:val="000000" w:themeColor="text1"/>
              </w:rPr>
              <w:t xml:space="preserve">ом пункте </w:t>
            </w:r>
            <w:hyperlink w:anchor="P260" w:history="1">
              <w:r w:rsidRPr="00EE5792">
                <w:rPr>
                  <w:rFonts w:ascii="Times New Roman" w:hAnsi="Times New Roman" w:cs="Times New Roman"/>
                  <w:color w:val="000000" w:themeColor="text1"/>
                </w:rPr>
                <w:t>&lt;1&gt;</w:t>
              </w:r>
            </w:hyperlink>
          </w:p>
        </w:tc>
      </w:tr>
      <w:tr w:rsidR="00105753" w:rsidRPr="00EE5792" w:rsidTr="00223A2B">
        <w:tc>
          <w:tcPr>
            <w:tcW w:w="698" w:type="dxa"/>
            <w:vMerge/>
          </w:tcPr>
          <w:p w:rsidR="00105753" w:rsidRPr="00EE5792" w:rsidRDefault="00105753" w:rsidP="0017784C">
            <w:pPr>
              <w:rPr>
                <w:sz w:val="20"/>
                <w:szCs w:val="20"/>
              </w:rPr>
            </w:pPr>
          </w:p>
        </w:tc>
        <w:tc>
          <w:tcPr>
            <w:tcW w:w="6168" w:type="dxa"/>
            <w:vAlign w:val="center"/>
          </w:tcPr>
          <w:p w:rsidR="00105753" w:rsidRPr="00EE5792" w:rsidRDefault="00105753" w:rsidP="0017784C">
            <w:pPr>
              <w:pStyle w:val="ConsPlusNormal"/>
              <w:rPr>
                <w:rFonts w:ascii="Times New Roman" w:hAnsi="Times New Roman" w:cs="Times New Roman"/>
              </w:rPr>
            </w:pPr>
            <w:r w:rsidRPr="00EE5792">
              <w:rPr>
                <w:rFonts w:ascii="Times New Roman" w:hAnsi="Times New Roman" w:cs="Times New Roman"/>
              </w:rPr>
              <w:t>Одноставочный тариф (в том числе дифференцированный по двум и по трем зонам суток)</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1,19023</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1,27884</w:t>
            </w:r>
          </w:p>
        </w:tc>
      </w:tr>
      <w:tr w:rsidR="00105753" w:rsidRPr="00EE5792" w:rsidTr="003E6A25">
        <w:tc>
          <w:tcPr>
            <w:tcW w:w="698" w:type="dxa"/>
            <w:vMerge w:val="restart"/>
            <w:vAlign w:val="center"/>
          </w:tcPr>
          <w:p w:rsidR="00105753" w:rsidRPr="00EE5792" w:rsidRDefault="00105753" w:rsidP="0017784C">
            <w:pPr>
              <w:pStyle w:val="ConsPlusNormal"/>
              <w:jc w:val="center"/>
              <w:rPr>
                <w:rFonts w:ascii="Times New Roman" w:hAnsi="Times New Roman" w:cs="Times New Roman"/>
              </w:rPr>
            </w:pPr>
            <w:bookmarkStart w:id="6" w:name="P207"/>
            <w:bookmarkEnd w:id="6"/>
            <w:r w:rsidRPr="00EE5792">
              <w:rPr>
                <w:rFonts w:ascii="Times New Roman" w:hAnsi="Times New Roman" w:cs="Times New Roman"/>
              </w:rPr>
              <w:t>1.2.</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w:t>
            </w:r>
            <w:proofErr w:type="gramStart"/>
            <w:r w:rsidRPr="00EE5792">
              <w:rPr>
                <w:rFonts w:ascii="Times New Roman" w:hAnsi="Times New Roman" w:cs="Times New Roman"/>
              </w:rPr>
              <w:t>приравненные</w:t>
            </w:r>
            <w:proofErr w:type="gramEnd"/>
            <w:r w:rsidRPr="00EE5792">
              <w:rPr>
                <w:rFonts w:ascii="Times New Roman" w:hAnsi="Times New Roman" w:cs="Times New Roman"/>
              </w:rPr>
              <w:t xml:space="preserve"> к ним:</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105753" w:rsidRPr="00EE5792" w:rsidRDefault="00105753" w:rsidP="0017784C">
            <w:pPr>
              <w:pStyle w:val="ConsPlusNormal"/>
              <w:jc w:val="both"/>
              <w:rPr>
                <w:rFonts w:ascii="Times New Roman" w:hAnsi="Times New Roman" w:cs="Times New Roman"/>
              </w:rPr>
            </w:pPr>
            <w:proofErr w:type="gramStart"/>
            <w:r w:rsidRPr="00EE5792">
              <w:rPr>
                <w:rFonts w:ascii="Times New Roman" w:hAnsi="Times New Roman" w:cs="Times New Roman"/>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EE5792">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w:t>
            </w:r>
            <w:r w:rsidRPr="00EE5792">
              <w:rPr>
                <w:rFonts w:ascii="Times New Roman" w:hAnsi="Times New Roman" w:cs="Times New Roman"/>
              </w:rPr>
              <w:lastRenderedPageBreak/>
              <w:t>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05753" w:rsidRPr="00EE5792" w:rsidTr="003E6A25">
        <w:tc>
          <w:tcPr>
            <w:tcW w:w="698" w:type="dxa"/>
            <w:vMerge/>
          </w:tcPr>
          <w:p w:rsidR="00105753" w:rsidRPr="00EE5792" w:rsidRDefault="00105753" w:rsidP="0017784C">
            <w:pPr>
              <w:rPr>
                <w:sz w:val="20"/>
                <w:szCs w:val="20"/>
              </w:rPr>
            </w:pP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w:t>
            </w:r>
            <w:r w:rsidRPr="00EE5792">
              <w:rPr>
                <w:rFonts w:ascii="Times New Roman" w:hAnsi="Times New Roman" w:cs="Times New Roman"/>
                <w:color w:val="000000" w:themeColor="text1"/>
              </w:rPr>
              <w:t xml:space="preserve">ом пункте </w:t>
            </w:r>
            <w:hyperlink w:anchor="P260" w:history="1">
              <w:r w:rsidRPr="00EE5792">
                <w:rPr>
                  <w:rFonts w:ascii="Times New Roman" w:hAnsi="Times New Roman" w:cs="Times New Roman"/>
                  <w:color w:val="000000" w:themeColor="text1"/>
                </w:rPr>
                <w:t>&lt;1&gt;</w:t>
              </w:r>
            </w:hyperlink>
          </w:p>
        </w:tc>
      </w:tr>
      <w:tr w:rsidR="00105753" w:rsidRPr="00EE5792" w:rsidTr="00223A2B">
        <w:tc>
          <w:tcPr>
            <w:tcW w:w="698" w:type="dxa"/>
            <w:vMerge/>
          </w:tcPr>
          <w:p w:rsidR="00105753" w:rsidRPr="00EE5792" w:rsidRDefault="00105753" w:rsidP="0017784C">
            <w:pPr>
              <w:rPr>
                <w:sz w:val="20"/>
                <w:szCs w:val="20"/>
              </w:rPr>
            </w:pPr>
          </w:p>
        </w:tc>
        <w:tc>
          <w:tcPr>
            <w:tcW w:w="6168"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Одноставочный тариф (в том числе дифференцированный по двум и по трем зонам суток)</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0,44017</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0,47376</w:t>
            </w:r>
          </w:p>
        </w:tc>
      </w:tr>
      <w:tr w:rsidR="00105753" w:rsidRPr="00EE5792" w:rsidTr="003E6A25">
        <w:tc>
          <w:tcPr>
            <w:tcW w:w="698" w:type="dxa"/>
            <w:vMerge w:val="restart"/>
            <w:vAlign w:val="center"/>
          </w:tcPr>
          <w:p w:rsidR="00105753" w:rsidRPr="00EE5792" w:rsidRDefault="00105753" w:rsidP="0017784C">
            <w:pPr>
              <w:pStyle w:val="ConsPlusNormal"/>
              <w:jc w:val="center"/>
              <w:rPr>
                <w:rFonts w:ascii="Times New Roman" w:hAnsi="Times New Roman" w:cs="Times New Roman"/>
              </w:rPr>
            </w:pPr>
            <w:bookmarkStart w:id="7" w:name="P217"/>
            <w:bookmarkEnd w:id="7"/>
            <w:r w:rsidRPr="00EE5792">
              <w:rPr>
                <w:rFonts w:ascii="Times New Roman" w:hAnsi="Times New Roman" w:cs="Times New Roman"/>
              </w:rPr>
              <w:t>1.3.</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 xml:space="preserve">Население, проживающее в сельских населенных пунктах, и </w:t>
            </w:r>
            <w:proofErr w:type="gramStart"/>
            <w:r w:rsidRPr="00EE5792">
              <w:rPr>
                <w:rFonts w:ascii="Times New Roman" w:hAnsi="Times New Roman" w:cs="Times New Roman"/>
              </w:rPr>
              <w:t>приравненные</w:t>
            </w:r>
            <w:proofErr w:type="gramEnd"/>
            <w:r w:rsidRPr="00EE5792">
              <w:rPr>
                <w:rFonts w:ascii="Times New Roman" w:hAnsi="Times New Roman" w:cs="Times New Roman"/>
              </w:rPr>
              <w:t xml:space="preserve"> к ним:</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105753" w:rsidRPr="00EE5792" w:rsidRDefault="00105753" w:rsidP="0017784C">
            <w:pPr>
              <w:pStyle w:val="ConsPlusNormal"/>
              <w:jc w:val="both"/>
              <w:rPr>
                <w:rFonts w:ascii="Times New Roman" w:hAnsi="Times New Roman" w:cs="Times New Roman"/>
              </w:rPr>
            </w:pPr>
            <w:proofErr w:type="gramStart"/>
            <w:r w:rsidRPr="00EE5792">
              <w:rPr>
                <w:rFonts w:ascii="Times New Roman" w:hAnsi="Times New Roman" w:cs="Times New Roman"/>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EE5792">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105753" w:rsidRPr="00EE5792" w:rsidTr="003E6A25">
        <w:tc>
          <w:tcPr>
            <w:tcW w:w="698" w:type="dxa"/>
            <w:vMerge/>
          </w:tcPr>
          <w:p w:rsidR="00105753" w:rsidRPr="00EE5792" w:rsidRDefault="00105753" w:rsidP="0017784C">
            <w:pPr>
              <w:rPr>
                <w:sz w:val="20"/>
                <w:szCs w:val="20"/>
              </w:rPr>
            </w:pP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p>
        </w:tc>
      </w:tr>
      <w:tr w:rsidR="00105753" w:rsidRPr="00EE5792" w:rsidTr="00223A2B">
        <w:tc>
          <w:tcPr>
            <w:tcW w:w="698" w:type="dxa"/>
            <w:vMerge/>
          </w:tcPr>
          <w:p w:rsidR="00105753" w:rsidRPr="00EE5792" w:rsidRDefault="00105753" w:rsidP="0017784C">
            <w:pPr>
              <w:rPr>
                <w:sz w:val="20"/>
                <w:szCs w:val="20"/>
              </w:rPr>
            </w:pPr>
          </w:p>
        </w:tc>
        <w:tc>
          <w:tcPr>
            <w:tcW w:w="6168"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Одноставочный тариф (в том числе дифференцированный по двум и по трем зонам суток)</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0,42521</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0,47376</w:t>
            </w:r>
          </w:p>
        </w:tc>
      </w:tr>
      <w:tr w:rsidR="00105753" w:rsidRPr="00EE5792" w:rsidTr="003E6A25">
        <w:tc>
          <w:tcPr>
            <w:tcW w:w="69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1.4.</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color w:val="000000" w:themeColor="text1"/>
              </w:rPr>
            </w:pPr>
            <w:r w:rsidRPr="00EE5792">
              <w:rPr>
                <w:rFonts w:ascii="Times New Roman" w:hAnsi="Times New Roman" w:cs="Times New Roman"/>
                <w:color w:val="000000" w:themeColor="text1"/>
              </w:rPr>
              <w:t xml:space="preserve">Приравненные к населению категории потребителей, за исключением указанных в </w:t>
            </w:r>
            <w:hyperlink r:id="rId9" w:history="1">
              <w:r w:rsidRPr="00EE5792">
                <w:rPr>
                  <w:rFonts w:ascii="Times New Roman" w:hAnsi="Times New Roman" w:cs="Times New Roman"/>
                  <w:color w:val="000000" w:themeColor="text1"/>
                </w:rPr>
                <w:t>пункте 71(1)</w:t>
              </w:r>
            </w:hyperlink>
            <w:r w:rsidRPr="00EE5792">
              <w:rPr>
                <w:rFonts w:ascii="Times New Roman" w:hAnsi="Times New Roman" w:cs="Times New Roman"/>
                <w:color w:val="000000" w:themeColor="text1"/>
              </w:rPr>
              <w:t xml:space="preserve"> Основ ценообразования:</w:t>
            </w:r>
          </w:p>
        </w:tc>
      </w:tr>
      <w:tr w:rsidR="00105753" w:rsidRPr="00EE5792" w:rsidTr="003E6A25">
        <w:tc>
          <w:tcPr>
            <w:tcW w:w="698"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1.4.1.</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color w:val="000000" w:themeColor="text1"/>
              </w:rPr>
            </w:pPr>
            <w:r w:rsidRPr="00EE5792">
              <w:rPr>
                <w:rFonts w:ascii="Times New Roman" w:hAnsi="Times New Roman" w:cs="Times New Roman"/>
                <w:color w:val="000000" w:themeColor="text1"/>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105753" w:rsidRPr="00EE5792" w:rsidTr="003E6A25">
        <w:tc>
          <w:tcPr>
            <w:tcW w:w="698" w:type="dxa"/>
            <w:vMerge/>
          </w:tcPr>
          <w:p w:rsidR="00105753" w:rsidRPr="00EE5792" w:rsidRDefault="00105753" w:rsidP="0017784C">
            <w:pPr>
              <w:rPr>
                <w:sz w:val="20"/>
                <w:szCs w:val="20"/>
              </w:rPr>
            </w:pPr>
          </w:p>
        </w:tc>
        <w:tc>
          <w:tcPr>
            <w:tcW w:w="14248" w:type="dxa"/>
            <w:gridSpan w:val="4"/>
            <w:vAlign w:val="center"/>
          </w:tcPr>
          <w:p w:rsidR="00105753" w:rsidRPr="00EE5792" w:rsidRDefault="00105753" w:rsidP="0017784C">
            <w:pPr>
              <w:pStyle w:val="ConsPlusNormal"/>
              <w:jc w:val="both"/>
              <w:rPr>
                <w:rFonts w:ascii="Times New Roman" w:hAnsi="Times New Roman" w:cs="Times New Roman"/>
                <w:color w:val="000000" w:themeColor="text1"/>
              </w:rPr>
            </w:pPr>
            <w:r w:rsidRPr="00EE5792">
              <w:rPr>
                <w:rFonts w:ascii="Times New Roman" w:hAnsi="Times New Roman" w:cs="Times New Roman"/>
                <w:color w:val="000000" w:themeColor="text1"/>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60" w:history="1">
              <w:r w:rsidRPr="00EE5792">
                <w:rPr>
                  <w:rFonts w:ascii="Times New Roman" w:hAnsi="Times New Roman" w:cs="Times New Roman"/>
                  <w:color w:val="000000" w:themeColor="text1"/>
                </w:rPr>
                <w:t>&lt;1&gt;</w:t>
              </w:r>
            </w:hyperlink>
          </w:p>
        </w:tc>
      </w:tr>
      <w:tr w:rsidR="00105753" w:rsidRPr="00EE5792" w:rsidTr="00223A2B">
        <w:tc>
          <w:tcPr>
            <w:tcW w:w="698" w:type="dxa"/>
            <w:vMerge/>
          </w:tcPr>
          <w:p w:rsidR="00105753" w:rsidRPr="00EE5792" w:rsidRDefault="00105753" w:rsidP="0017784C">
            <w:pPr>
              <w:rPr>
                <w:sz w:val="20"/>
                <w:szCs w:val="20"/>
              </w:rPr>
            </w:pPr>
          </w:p>
        </w:tc>
        <w:tc>
          <w:tcPr>
            <w:tcW w:w="6168"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Одноставочный тариф (в том числе дифференцированный по двум и по трем зонам суток)</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0,44937</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0,47376</w:t>
            </w:r>
          </w:p>
        </w:tc>
      </w:tr>
      <w:tr w:rsidR="00105753" w:rsidRPr="00EE5792" w:rsidTr="003E6A25">
        <w:tc>
          <w:tcPr>
            <w:tcW w:w="698"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1.4.2.</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 xml:space="preserve">Юридические лица, приобретающие электрическую энергию (мощность) в целях потребления осужденными в помещениях для их содержания при условии </w:t>
            </w:r>
            <w:r w:rsidRPr="00EE5792">
              <w:rPr>
                <w:rFonts w:ascii="Times New Roman" w:hAnsi="Times New Roman" w:cs="Times New Roman"/>
              </w:rPr>
              <w:lastRenderedPageBreak/>
              <w:t>наличия раздельного учета электрической энергии для указанных помещений</w:t>
            </w:r>
          </w:p>
        </w:tc>
      </w:tr>
      <w:tr w:rsidR="00105753" w:rsidRPr="00EE5792" w:rsidTr="003E6A25">
        <w:tc>
          <w:tcPr>
            <w:tcW w:w="698" w:type="dxa"/>
            <w:vMerge/>
          </w:tcPr>
          <w:p w:rsidR="00105753" w:rsidRPr="00EE5792" w:rsidRDefault="00105753" w:rsidP="0017784C">
            <w:pPr>
              <w:rPr>
                <w:sz w:val="20"/>
                <w:szCs w:val="20"/>
              </w:rPr>
            </w:pPr>
          </w:p>
        </w:tc>
        <w:tc>
          <w:tcPr>
            <w:tcW w:w="14248" w:type="dxa"/>
            <w:gridSpan w:val="4"/>
            <w:vAlign w:val="center"/>
          </w:tcPr>
          <w:p w:rsidR="00105753" w:rsidRPr="00EE5792" w:rsidRDefault="00105753" w:rsidP="0017784C">
            <w:pPr>
              <w:pStyle w:val="ConsPlusNormal"/>
              <w:jc w:val="both"/>
              <w:rPr>
                <w:rFonts w:ascii="Times New Roman" w:hAnsi="Times New Roman" w:cs="Times New Roman"/>
                <w:color w:val="000000" w:themeColor="text1"/>
              </w:rPr>
            </w:pPr>
            <w:r w:rsidRPr="00EE5792">
              <w:rPr>
                <w:rFonts w:ascii="Times New Roman" w:hAnsi="Times New Roman" w:cs="Times New Roman"/>
                <w:color w:val="000000" w:themeColor="text1"/>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60" w:history="1">
              <w:r w:rsidRPr="00EE5792">
                <w:rPr>
                  <w:rFonts w:ascii="Times New Roman" w:hAnsi="Times New Roman" w:cs="Times New Roman"/>
                  <w:color w:val="000000" w:themeColor="text1"/>
                </w:rPr>
                <w:t>&lt;1&gt;</w:t>
              </w:r>
            </w:hyperlink>
          </w:p>
        </w:tc>
      </w:tr>
      <w:tr w:rsidR="00105753" w:rsidRPr="00EE5792" w:rsidTr="00223A2B">
        <w:tc>
          <w:tcPr>
            <w:tcW w:w="698" w:type="dxa"/>
            <w:vMerge/>
          </w:tcPr>
          <w:p w:rsidR="00105753" w:rsidRPr="00EE5792" w:rsidRDefault="00105753" w:rsidP="0017784C">
            <w:pPr>
              <w:rPr>
                <w:sz w:val="20"/>
                <w:szCs w:val="20"/>
              </w:rPr>
            </w:pPr>
          </w:p>
        </w:tc>
        <w:tc>
          <w:tcPr>
            <w:tcW w:w="6168"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Одноставочный тариф (в том числе дифференцированный по двум и по трем зонам суток)</w:t>
            </w:r>
          </w:p>
        </w:tc>
        <w:tc>
          <w:tcPr>
            <w:tcW w:w="4536" w:type="dxa"/>
            <w:vAlign w:val="center"/>
          </w:tcPr>
          <w:p w:rsidR="00105753" w:rsidRPr="00EE5792" w:rsidRDefault="00105753" w:rsidP="0017784C">
            <w:pPr>
              <w:pStyle w:val="ConsPlusNormal"/>
              <w:jc w:val="center"/>
              <w:rPr>
                <w:rFonts w:ascii="Times New Roman" w:hAnsi="Times New Roman" w:cs="Times New Roman"/>
                <w:color w:val="000000" w:themeColor="text1"/>
              </w:rPr>
            </w:pPr>
            <w:r w:rsidRPr="00EE5792">
              <w:rPr>
                <w:rFonts w:ascii="Times New Roman" w:hAnsi="Times New Roman" w:cs="Times New Roman"/>
                <w:color w:val="000000" w:themeColor="text1"/>
              </w:rPr>
              <w:t>руб./кВт</w:t>
            </w:r>
            <w:proofErr w:type="gramStart"/>
            <w:r w:rsidRPr="00EE5792">
              <w:rPr>
                <w:rFonts w:ascii="Times New Roman" w:hAnsi="Times New Roman" w:cs="Times New Roman"/>
                <w:color w:val="000000" w:themeColor="text1"/>
              </w:rPr>
              <w:t>.ч</w:t>
            </w:r>
            <w:proofErr w:type="gramEnd"/>
          </w:p>
        </w:tc>
        <w:tc>
          <w:tcPr>
            <w:tcW w:w="1701" w:type="dxa"/>
            <w:vAlign w:val="center"/>
          </w:tcPr>
          <w:p w:rsidR="00105753" w:rsidRPr="00EE5792" w:rsidRDefault="00105753" w:rsidP="0017784C">
            <w:pPr>
              <w:pStyle w:val="ConsPlusNormal"/>
              <w:jc w:val="center"/>
              <w:rPr>
                <w:rFonts w:ascii="Times New Roman" w:hAnsi="Times New Roman" w:cs="Times New Roman"/>
                <w:color w:val="000000" w:themeColor="text1"/>
              </w:rPr>
            </w:pPr>
            <w:r w:rsidRPr="00EE5792">
              <w:rPr>
                <w:rFonts w:ascii="Times New Roman" w:hAnsi="Times New Roman" w:cs="Times New Roman"/>
                <w:color w:val="000000" w:themeColor="text1"/>
              </w:rPr>
              <w:t>1,19513</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1,27884</w:t>
            </w:r>
          </w:p>
        </w:tc>
      </w:tr>
      <w:tr w:rsidR="00105753" w:rsidRPr="00EE5792" w:rsidTr="003E6A25">
        <w:tc>
          <w:tcPr>
            <w:tcW w:w="698"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1.4.3.</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color w:val="000000" w:themeColor="text1"/>
              </w:rPr>
            </w:pPr>
            <w:r w:rsidRPr="00EE5792">
              <w:rPr>
                <w:rFonts w:ascii="Times New Roman" w:hAnsi="Times New Roman" w:cs="Times New Roman"/>
                <w:color w:val="000000" w:themeColor="text1"/>
              </w:rPr>
              <w:t>Содержащиеся за счет прихожан религиозные организации</w:t>
            </w:r>
          </w:p>
        </w:tc>
      </w:tr>
      <w:tr w:rsidR="00105753" w:rsidRPr="00EE5792" w:rsidTr="003E6A25">
        <w:tc>
          <w:tcPr>
            <w:tcW w:w="698" w:type="dxa"/>
            <w:vMerge/>
          </w:tcPr>
          <w:p w:rsidR="00105753" w:rsidRPr="00EE5792" w:rsidRDefault="00105753" w:rsidP="0017784C">
            <w:pPr>
              <w:rPr>
                <w:sz w:val="20"/>
                <w:szCs w:val="20"/>
              </w:rPr>
            </w:pPr>
          </w:p>
        </w:tc>
        <w:tc>
          <w:tcPr>
            <w:tcW w:w="14248" w:type="dxa"/>
            <w:gridSpan w:val="4"/>
            <w:vAlign w:val="center"/>
          </w:tcPr>
          <w:p w:rsidR="00105753" w:rsidRPr="00EE5792" w:rsidRDefault="00105753" w:rsidP="0017784C">
            <w:pPr>
              <w:pStyle w:val="ConsPlusNormal"/>
              <w:jc w:val="both"/>
              <w:rPr>
                <w:rFonts w:ascii="Times New Roman" w:hAnsi="Times New Roman" w:cs="Times New Roman"/>
                <w:color w:val="000000" w:themeColor="text1"/>
              </w:rPr>
            </w:pPr>
            <w:r w:rsidRPr="00EE5792">
              <w:rPr>
                <w:rFonts w:ascii="Times New Roman" w:hAnsi="Times New Roman" w:cs="Times New Roman"/>
                <w:color w:val="000000" w:themeColor="text1"/>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60" w:history="1">
              <w:r w:rsidRPr="00EE5792">
                <w:rPr>
                  <w:rFonts w:ascii="Times New Roman" w:hAnsi="Times New Roman" w:cs="Times New Roman"/>
                  <w:color w:val="000000" w:themeColor="text1"/>
                </w:rPr>
                <w:t>&lt;1&gt;</w:t>
              </w:r>
            </w:hyperlink>
          </w:p>
        </w:tc>
      </w:tr>
      <w:tr w:rsidR="00105753" w:rsidRPr="00EE5792" w:rsidTr="00223A2B">
        <w:tc>
          <w:tcPr>
            <w:tcW w:w="698" w:type="dxa"/>
            <w:vMerge/>
          </w:tcPr>
          <w:p w:rsidR="00105753" w:rsidRPr="00EE5792" w:rsidRDefault="00105753" w:rsidP="0017784C">
            <w:pPr>
              <w:rPr>
                <w:sz w:val="20"/>
                <w:szCs w:val="20"/>
              </w:rPr>
            </w:pPr>
          </w:p>
        </w:tc>
        <w:tc>
          <w:tcPr>
            <w:tcW w:w="6168"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Одноставочный тариф (в том числе дифференцированный по двум и по трем зонам суток)</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1,25659</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1,27884</w:t>
            </w:r>
          </w:p>
        </w:tc>
      </w:tr>
      <w:tr w:rsidR="00105753" w:rsidRPr="00EE5792" w:rsidTr="003E6A25">
        <w:tc>
          <w:tcPr>
            <w:tcW w:w="698"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1.4.4.</w:t>
            </w: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105753" w:rsidRPr="00EE5792" w:rsidTr="003E6A25">
        <w:tc>
          <w:tcPr>
            <w:tcW w:w="698" w:type="dxa"/>
            <w:vMerge/>
          </w:tcPr>
          <w:p w:rsidR="00105753" w:rsidRPr="00EE5792" w:rsidRDefault="00105753" w:rsidP="0017784C">
            <w:pPr>
              <w:rPr>
                <w:sz w:val="20"/>
                <w:szCs w:val="20"/>
              </w:rPr>
            </w:pPr>
          </w:p>
        </w:tc>
        <w:tc>
          <w:tcPr>
            <w:tcW w:w="14248" w:type="dxa"/>
            <w:gridSpan w:val="4"/>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r w:rsidRPr="00EE5792">
              <w:rPr>
                <w:rFonts w:ascii="Times New Roman" w:hAnsi="Times New Roman" w:cs="Times New Roman"/>
                <w:color w:val="000000" w:themeColor="text1"/>
              </w:rPr>
              <w:t xml:space="preserve"> </w:t>
            </w:r>
            <w:hyperlink w:anchor="P260" w:history="1">
              <w:r w:rsidRPr="00EE5792">
                <w:rPr>
                  <w:rFonts w:ascii="Times New Roman" w:hAnsi="Times New Roman" w:cs="Times New Roman"/>
                  <w:color w:val="000000" w:themeColor="text1"/>
                </w:rPr>
                <w:t>&lt;1&gt;</w:t>
              </w:r>
            </w:hyperlink>
          </w:p>
        </w:tc>
      </w:tr>
      <w:tr w:rsidR="00105753" w:rsidRPr="00EE5792" w:rsidTr="00223A2B">
        <w:tc>
          <w:tcPr>
            <w:tcW w:w="698" w:type="dxa"/>
            <w:vMerge/>
          </w:tcPr>
          <w:p w:rsidR="00105753" w:rsidRPr="00EE5792" w:rsidRDefault="00105753" w:rsidP="0017784C">
            <w:pPr>
              <w:rPr>
                <w:sz w:val="20"/>
                <w:szCs w:val="20"/>
              </w:rPr>
            </w:pPr>
          </w:p>
        </w:tc>
        <w:tc>
          <w:tcPr>
            <w:tcW w:w="6168"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Одноставочный тариф (в том числе дифференцированный по двум и по трем зонам суток)</w:t>
            </w:r>
          </w:p>
        </w:tc>
        <w:tc>
          <w:tcPr>
            <w:tcW w:w="4536"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170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1,19526</w:t>
            </w:r>
          </w:p>
        </w:tc>
        <w:tc>
          <w:tcPr>
            <w:tcW w:w="184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1,27884</w:t>
            </w:r>
          </w:p>
        </w:tc>
      </w:tr>
    </w:tbl>
    <w:p w:rsidR="00105753" w:rsidRPr="003E6A25" w:rsidRDefault="00105753" w:rsidP="003E6A25">
      <w:pPr>
        <w:widowControl w:val="0"/>
        <w:autoSpaceDE w:val="0"/>
        <w:autoSpaceDN w:val="0"/>
        <w:adjustRightInd w:val="0"/>
        <w:spacing w:line="360" w:lineRule="auto"/>
        <w:ind w:firstLine="540"/>
        <w:jc w:val="both"/>
        <w:rPr>
          <w:sz w:val="22"/>
          <w:szCs w:val="22"/>
        </w:rPr>
      </w:pPr>
    </w:p>
    <w:p w:rsidR="00105753" w:rsidRPr="003E6A25" w:rsidRDefault="00105753" w:rsidP="003E6A25">
      <w:pPr>
        <w:widowControl w:val="0"/>
        <w:autoSpaceDE w:val="0"/>
        <w:autoSpaceDN w:val="0"/>
        <w:adjustRightInd w:val="0"/>
        <w:spacing w:line="360" w:lineRule="auto"/>
        <w:ind w:firstLine="540"/>
        <w:jc w:val="both"/>
        <w:rPr>
          <w:sz w:val="22"/>
          <w:szCs w:val="22"/>
        </w:rPr>
      </w:pPr>
      <w:bookmarkStart w:id="8" w:name="P260"/>
      <w:bookmarkEnd w:id="8"/>
      <w:r w:rsidRPr="00EE5792">
        <w:rPr>
          <w:sz w:val="22"/>
          <w:szCs w:val="22"/>
        </w:rPr>
        <w:t> </w:t>
      </w:r>
      <w:r w:rsidRPr="003E6A25">
        <w:rPr>
          <w:sz w:val="22"/>
          <w:szCs w:val="22"/>
        </w:rPr>
        <w:t>Примечание: гарантирующие поставщики, сбытовые компании, а также потребители, заключившие с ними договоры купли-продажи электрической энергии (мощности), потребители – субъекты оптового рынка электрической энергии (мощности), оплачивают услуги по передаче электрической энергии (мощности) в адрес Филиала ОАО «МРСК Северо-Запада» «Карелэнерго» по установленным единым (котловым) тарифам.</w:t>
      </w:r>
    </w:p>
    <w:p w:rsidR="00105753" w:rsidRPr="00EE5792" w:rsidRDefault="00105753" w:rsidP="00105753">
      <w:pPr>
        <w:jc w:val="center"/>
        <w:rPr>
          <w:sz w:val="22"/>
          <w:szCs w:val="22"/>
        </w:rPr>
      </w:pPr>
    </w:p>
    <w:p w:rsidR="003E6A25" w:rsidRPr="00C33720" w:rsidRDefault="003E6A25" w:rsidP="00105753">
      <w:pPr>
        <w:jc w:val="center"/>
        <w:rPr>
          <w:b/>
          <w:sz w:val="22"/>
          <w:szCs w:val="22"/>
        </w:rPr>
      </w:pPr>
    </w:p>
    <w:p w:rsidR="00223A2B" w:rsidRPr="00C33720" w:rsidRDefault="00223A2B" w:rsidP="00105753">
      <w:pPr>
        <w:jc w:val="center"/>
        <w:rPr>
          <w:b/>
          <w:sz w:val="22"/>
          <w:szCs w:val="22"/>
        </w:rPr>
      </w:pPr>
    </w:p>
    <w:p w:rsidR="00223A2B" w:rsidRPr="00C33720" w:rsidRDefault="00223A2B" w:rsidP="00105753">
      <w:pPr>
        <w:jc w:val="center"/>
        <w:rPr>
          <w:b/>
          <w:sz w:val="22"/>
          <w:szCs w:val="22"/>
        </w:rPr>
      </w:pPr>
    </w:p>
    <w:p w:rsidR="00223A2B" w:rsidRPr="00C33720" w:rsidRDefault="00223A2B" w:rsidP="00105753">
      <w:pPr>
        <w:jc w:val="center"/>
        <w:rPr>
          <w:b/>
          <w:sz w:val="22"/>
          <w:szCs w:val="22"/>
        </w:rPr>
      </w:pPr>
    </w:p>
    <w:p w:rsidR="00223A2B" w:rsidRPr="00C33720" w:rsidRDefault="00223A2B" w:rsidP="00105753">
      <w:pPr>
        <w:jc w:val="center"/>
        <w:rPr>
          <w:b/>
          <w:sz w:val="22"/>
          <w:szCs w:val="22"/>
        </w:rPr>
      </w:pPr>
    </w:p>
    <w:p w:rsidR="00223A2B" w:rsidRPr="00C33720" w:rsidRDefault="00223A2B" w:rsidP="00105753">
      <w:pPr>
        <w:jc w:val="center"/>
        <w:rPr>
          <w:b/>
          <w:sz w:val="22"/>
          <w:szCs w:val="22"/>
        </w:rPr>
      </w:pPr>
    </w:p>
    <w:p w:rsidR="00223A2B" w:rsidRPr="00C33720" w:rsidRDefault="00223A2B" w:rsidP="00105753">
      <w:pPr>
        <w:jc w:val="center"/>
        <w:rPr>
          <w:b/>
          <w:sz w:val="22"/>
          <w:szCs w:val="22"/>
        </w:rPr>
      </w:pPr>
    </w:p>
    <w:p w:rsidR="00223A2B" w:rsidRPr="00C33720" w:rsidRDefault="00223A2B" w:rsidP="00105753">
      <w:pPr>
        <w:jc w:val="center"/>
        <w:rPr>
          <w:b/>
          <w:sz w:val="22"/>
          <w:szCs w:val="22"/>
        </w:rPr>
      </w:pPr>
    </w:p>
    <w:p w:rsidR="003E6A25" w:rsidRPr="00CF6575" w:rsidRDefault="003E6A25" w:rsidP="00105753">
      <w:pPr>
        <w:jc w:val="center"/>
        <w:rPr>
          <w:b/>
          <w:sz w:val="22"/>
          <w:szCs w:val="22"/>
        </w:rPr>
      </w:pPr>
    </w:p>
    <w:p w:rsidR="00105753" w:rsidRPr="00EE5792" w:rsidRDefault="00105753" w:rsidP="00105753">
      <w:pPr>
        <w:jc w:val="center"/>
        <w:rPr>
          <w:b/>
          <w:sz w:val="22"/>
          <w:szCs w:val="22"/>
        </w:rPr>
      </w:pPr>
      <w:r w:rsidRPr="00EE5792">
        <w:rPr>
          <w:b/>
          <w:sz w:val="22"/>
          <w:szCs w:val="22"/>
        </w:rPr>
        <w:lastRenderedPageBreak/>
        <w:t>Сбытовая надбавка.</w:t>
      </w:r>
    </w:p>
    <w:p w:rsidR="00105753" w:rsidRPr="00EE5792" w:rsidRDefault="00105753" w:rsidP="00105753">
      <w:pPr>
        <w:pStyle w:val="ConsPlusNormal"/>
        <w:ind w:firstLine="539"/>
        <w:jc w:val="both"/>
        <w:rPr>
          <w:rFonts w:ascii="Times New Roman" w:hAnsi="Times New Roman" w:cs="Times New Roman"/>
        </w:rPr>
      </w:pPr>
    </w:p>
    <w:p w:rsidR="00105753" w:rsidRPr="00DB720A" w:rsidRDefault="00105753" w:rsidP="00DB720A">
      <w:pPr>
        <w:widowControl w:val="0"/>
        <w:autoSpaceDE w:val="0"/>
        <w:autoSpaceDN w:val="0"/>
        <w:adjustRightInd w:val="0"/>
        <w:spacing w:line="360" w:lineRule="auto"/>
        <w:ind w:firstLine="540"/>
        <w:jc w:val="both"/>
        <w:rPr>
          <w:sz w:val="22"/>
          <w:szCs w:val="22"/>
        </w:rPr>
      </w:pPr>
      <w:r w:rsidRPr="00DB720A">
        <w:rPr>
          <w:sz w:val="22"/>
          <w:szCs w:val="22"/>
        </w:rPr>
        <w:t>Постановление от 23 декабря 2015 г. N 301 «Об установлении сбытовой надбавки гарантирующего поставщика электрической энергии общества с ограниченной ответственностью «Энергокомфорт». Единая Карельская сбытовая компания».</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Приложение N 1</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к постановлению</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Государственного комитета</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Республики Карелия</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по ценам и тарифам</w:t>
      </w:r>
    </w:p>
    <w:p w:rsidR="00105753" w:rsidRPr="00EE5792" w:rsidRDefault="00105753" w:rsidP="00105753">
      <w:pPr>
        <w:pStyle w:val="ConsPlusNormal"/>
        <w:jc w:val="right"/>
        <w:rPr>
          <w:rFonts w:ascii="Times New Roman" w:hAnsi="Times New Roman" w:cs="Times New Roman"/>
        </w:rPr>
      </w:pPr>
      <w:r w:rsidRPr="00DB720A">
        <w:rPr>
          <w:rFonts w:ascii="Times New Roman" w:hAnsi="Times New Roman" w:cs="Times New Roman"/>
          <w:sz w:val="16"/>
          <w:szCs w:val="16"/>
        </w:rPr>
        <w:t>от 23 декабря 2015 г. N 301</w:t>
      </w:r>
    </w:p>
    <w:p w:rsidR="00105753" w:rsidRPr="00EE5792" w:rsidRDefault="00105753" w:rsidP="00105753">
      <w:pPr>
        <w:pStyle w:val="ConsPlusNormal"/>
        <w:jc w:val="right"/>
        <w:rPr>
          <w:rFonts w:ascii="Times New Roman" w:hAnsi="Times New Roman" w:cs="Times New Roman"/>
        </w:rPr>
      </w:pPr>
    </w:p>
    <w:p w:rsidR="00105753" w:rsidRPr="00DB720A" w:rsidRDefault="00105753" w:rsidP="00105753">
      <w:pPr>
        <w:pStyle w:val="ConsPlusTitle"/>
        <w:jc w:val="center"/>
        <w:rPr>
          <w:rFonts w:ascii="Times New Roman" w:hAnsi="Times New Roman" w:cs="Times New Roman"/>
          <w:b w:val="0"/>
          <w:sz w:val="20"/>
        </w:rPr>
      </w:pPr>
      <w:bookmarkStart w:id="9" w:name="P39"/>
      <w:bookmarkEnd w:id="9"/>
      <w:r w:rsidRPr="00DB720A">
        <w:rPr>
          <w:rFonts w:ascii="Times New Roman" w:hAnsi="Times New Roman" w:cs="Times New Roman"/>
          <w:b w:val="0"/>
          <w:sz w:val="20"/>
        </w:rPr>
        <w:t>СБЫТОВАЯ НАДБАВКА</w:t>
      </w:r>
    </w:p>
    <w:p w:rsidR="00105753" w:rsidRPr="00DB720A" w:rsidRDefault="00105753" w:rsidP="00105753">
      <w:pPr>
        <w:pStyle w:val="ConsPlusTitle"/>
        <w:jc w:val="center"/>
        <w:rPr>
          <w:rFonts w:ascii="Times New Roman" w:hAnsi="Times New Roman" w:cs="Times New Roman"/>
          <w:b w:val="0"/>
          <w:sz w:val="20"/>
        </w:rPr>
      </w:pPr>
      <w:r w:rsidRPr="00DB720A">
        <w:rPr>
          <w:rFonts w:ascii="Times New Roman" w:hAnsi="Times New Roman" w:cs="Times New Roman"/>
          <w:b w:val="0"/>
          <w:sz w:val="20"/>
        </w:rPr>
        <w:t>ГАРАНТИРУЮЩЕГО ПОСТАВЩИКА ЭЛЕКТРИЧЕСКОЙ</w:t>
      </w:r>
      <w:r w:rsidR="00DB720A" w:rsidRPr="00DB720A">
        <w:rPr>
          <w:rFonts w:ascii="Times New Roman" w:hAnsi="Times New Roman" w:cs="Times New Roman"/>
          <w:b w:val="0"/>
          <w:sz w:val="20"/>
        </w:rPr>
        <w:t xml:space="preserve"> </w:t>
      </w:r>
      <w:r w:rsidRPr="00DB720A">
        <w:rPr>
          <w:rFonts w:ascii="Times New Roman" w:hAnsi="Times New Roman" w:cs="Times New Roman"/>
          <w:b w:val="0"/>
          <w:sz w:val="20"/>
        </w:rPr>
        <w:t>ЭНЕРГИИ ОБЩЕСТВА С ОГРАНИЧЕННОЙ ОТВЕТСТВЕННОСТЬЮ</w:t>
      </w:r>
    </w:p>
    <w:p w:rsidR="00105753" w:rsidRPr="00DB720A" w:rsidRDefault="0017784C" w:rsidP="00105753">
      <w:pPr>
        <w:pStyle w:val="ConsPlusTitle"/>
        <w:jc w:val="center"/>
        <w:rPr>
          <w:rFonts w:ascii="Times New Roman" w:hAnsi="Times New Roman" w:cs="Times New Roman"/>
          <w:b w:val="0"/>
          <w:sz w:val="20"/>
        </w:rPr>
      </w:pPr>
      <w:r w:rsidRPr="00DB720A">
        <w:rPr>
          <w:rFonts w:ascii="Times New Roman" w:hAnsi="Times New Roman" w:cs="Times New Roman"/>
          <w:b w:val="0"/>
          <w:sz w:val="20"/>
        </w:rPr>
        <w:t>«</w:t>
      </w:r>
      <w:r w:rsidR="00105753" w:rsidRPr="00DB720A">
        <w:rPr>
          <w:rFonts w:ascii="Times New Roman" w:hAnsi="Times New Roman" w:cs="Times New Roman"/>
          <w:b w:val="0"/>
          <w:sz w:val="20"/>
        </w:rPr>
        <w:t>ЭНЕРГОКОМФОРТ. ЕДИНАЯ КАРЕЛЬСКАЯ СБЫТОВАЯ КОМПАНИЯ</w:t>
      </w:r>
      <w:r w:rsidRPr="00DB720A">
        <w:rPr>
          <w:rFonts w:ascii="Times New Roman" w:hAnsi="Times New Roman" w:cs="Times New Roman"/>
          <w:b w:val="0"/>
          <w:sz w:val="20"/>
        </w:rPr>
        <w:t>»</w:t>
      </w:r>
      <w:r w:rsidR="00DB720A" w:rsidRPr="00DB720A">
        <w:rPr>
          <w:rFonts w:ascii="Times New Roman" w:hAnsi="Times New Roman" w:cs="Times New Roman"/>
          <w:b w:val="0"/>
          <w:sz w:val="20"/>
        </w:rPr>
        <w:t xml:space="preserve"> </w:t>
      </w:r>
      <w:r w:rsidR="00105753" w:rsidRPr="00DB720A">
        <w:rPr>
          <w:rFonts w:ascii="Times New Roman" w:hAnsi="Times New Roman" w:cs="Times New Roman"/>
          <w:b w:val="0"/>
          <w:sz w:val="20"/>
        </w:rPr>
        <w:t>С 1 ЯНВАРЯ 2016 ГОДА ПО 30 ИЮНЯ 2016 ГОДА</w:t>
      </w:r>
    </w:p>
    <w:p w:rsidR="00105753" w:rsidRPr="00EE5792" w:rsidRDefault="00105753" w:rsidP="0010575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013"/>
        <w:gridCol w:w="3578"/>
        <w:gridCol w:w="3969"/>
        <w:gridCol w:w="4677"/>
      </w:tblGrid>
      <w:tr w:rsidR="00105753" w:rsidRPr="00EE5792" w:rsidTr="00DB720A">
        <w:tc>
          <w:tcPr>
            <w:tcW w:w="567"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 xml:space="preserve">N </w:t>
            </w:r>
            <w:proofErr w:type="gramStart"/>
            <w:r w:rsidRPr="00EE5792">
              <w:rPr>
                <w:rFonts w:ascii="Times New Roman" w:hAnsi="Times New Roman" w:cs="Times New Roman"/>
              </w:rPr>
              <w:t>п</w:t>
            </w:r>
            <w:proofErr w:type="gramEnd"/>
            <w:r w:rsidRPr="00EE5792">
              <w:rPr>
                <w:rFonts w:ascii="Times New Roman" w:hAnsi="Times New Roman" w:cs="Times New Roman"/>
              </w:rPr>
              <w:t>/п</w:t>
            </w:r>
          </w:p>
        </w:tc>
        <w:tc>
          <w:tcPr>
            <w:tcW w:w="2013"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Наименование организации</w:t>
            </w:r>
          </w:p>
        </w:tc>
        <w:tc>
          <w:tcPr>
            <w:tcW w:w="12224" w:type="dxa"/>
            <w:gridSpan w:val="3"/>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Сбытовая надбавка</w:t>
            </w:r>
          </w:p>
        </w:tc>
      </w:tr>
      <w:tr w:rsidR="00105753" w:rsidRPr="00EE5792" w:rsidTr="00DB720A">
        <w:tc>
          <w:tcPr>
            <w:tcW w:w="567" w:type="dxa"/>
            <w:vMerge/>
          </w:tcPr>
          <w:p w:rsidR="00105753" w:rsidRPr="00EE5792" w:rsidRDefault="00105753" w:rsidP="0017784C"/>
        </w:tc>
        <w:tc>
          <w:tcPr>
            <w:tcW w:w="2013" w:type="dxa"/>
            <w:vMerge/>
          </w:tcPr>
          <w:p w:rsidR="00105753" w:rsidRPr="00EE5792" w:rsidRDefault="00105753" w:rsidP="0017784C"/>
        </w:tc>
        <w:tc>
          <w:tcPr>
            <w:tcW w:w="357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тарифная группа "население"</w:t>
            </w:r>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потребители всех тарифных групп, за исключением 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r>
      <w:tr w:rsidR="00105753" w:rsidRPr="00EE5792" w:rsidTr="00DB720A">
        <w:tc>
          <w:tcPr>
            <w:tcW w:w="567" w:type="dxa"/>
            <w:vAlign w:val="center"/>
          </w:tcPr>
          <w:p w:rsidR="00105753" w:rsidRPr="00EE5792" w:rsidRDefault="00105753" w:rsidP="0017784C">
            <w:pPr>
              <w:pStyle w:val="ConsPlusNormal"/>
              <w:jc w:val="center"/>
              <w:rPr>
                <w:rFonts w:ascii="Times New Roman" w:hAnsi="Times New Roman" w:cs="Times New Roman"/>
              </w:rPr>
            </w:pPr>
          </w:p>
        </w:tc>
        <w:tc>
          <w:tcPr>
            <w:tcW w:w="2013" w:type="dxa"/>
            <w:vAlign w:val="center"/>
          </w:tcPr>
          <w:p w:rsidR="00105753" w:rsidRPr="00EE5792" w:rsidRDefault="00105753" w:rsidP="0017784C">
            <w:pPr>
              <w:pStyle w:val="ConsPlusNormal"/>
              <w:jc w:val="center"/>
              <w:rPr>
                <w:rFonts w:ascii="Times New Roman" w:hAnsi="Times New Roman" w:cs="Times New Roman"/>
              </w:rPr>
            </w:pPr>
          </w:p>
        </w:tc>
        <w:tc>
          <w:tcPr>
            <w:tcW w:w="357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r>
      <w:tr w:rsidR="00105753" w:rsidRPr="00EE5792" w:rsidTr="00DB720A">
        <w:tc>
          <w:tcPr>
            <w:tcW w:w="56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w:t>
            </w:r>
          </w:p>
        </w:tc>
        <w:tc>
          <w:tcPr>
            <w:tcW w:w="201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2</w:t>
            </w:r>
          </w:p>
        </w:tc>
        <w:tc>
          <w:tcPr>
            <w:tcW w:w="357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3</w:t>
            </w:r>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4</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5</w:t>
            </w:r>
          </w:p>
        </w:tc>
      </w:tr>
      <w:tr w:rsidR="00105753" w:rsidRPr="00EE5792" w:rsidTr="00DB720A">
        <w:tc>
          <w:tcPr>
            <w:tcW w:w="56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w:t>
            </w:r>
          </w:p>
        </w:tc>
        <w:tc>
          <w:tcPr>
            <w:tcW w:w="201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 xml:space="preserve">ООО </w:t>
            </w:r>
            <w:r w:rsidR="0017784C" w:rsidRPr="00EE5792">
              <w:rPr>
                <w:rFonts w:ascii="Times New Roman" w:hAnsi="Times New Roman" w:cs="Times New Roman"/>
              </w:rPr>
              <w:t>«</w:t>
            </w:r>
            <w:r w:rsidRPr="00EE5792">
              <w:rPr>
                <w:rFonts w:ascii="Times New Roman" w:hAnsi="Times New Roman" w:cs="Times New Roman"/>
              </w:rPr>
              <w:t>Энергокомфорт. Единая Карельская сбытовая компания</w:t>
            </w:r>
            <w:r w:rsidR="0017784C" w:rsidRPr="00EE5792">
              <w:rPr>
                <w:rFonts w:ascii="Times New Roman" w:hAnsi="Times New Roman" w:cs="Times New Roman"/>
              </w:rPr>
              <w:t>»</w:t>
            </w:r>
          </w:p>
        </w:tc>
        <w:tc>
          <w:tcPr>
            <w:tcW w:w="357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0,17</w:t>
            </w:r>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0,001</w:t>
            </w:r>
          </w:p>
        </w:tc>
        <w:tc>
          <w:tcPr>
            <w:tcW w:w="4677" w:type="dxa"/>
            <w:vAlign w:val="center"/>
          </w:tcPr>
          <w:p w:rsidR="00105753" w:rsidRPr="00EE5792" w:rsidRDefault="00774240" w:rsidP="0017784C">
            <w:pPr>
              <w:pStyle w:val="ConsPlusNormal"/>
              <w:jc w:val="center"/>
              <w:rPr>
                <w:rFonts w:ascii="Times New Roman" w:hAnsi="Times New Roman" w:cs="Times New Roman"/>
                <w:color w:val="000000" w:themeColor="text1"/>
              </w:rPr>
            </w:pPr>
            <w:hyperlink w:anchor="P68" w:history="1">
              <w:r w:rsidR="00105753" w:rsidRPr="00EE5792">
                <w:rPr>
                  <w:rFonts w:ascii="Times New Roman" w:hAnsi="Times New Roman" w:cs="Times New Roman"/>
                  <w:color w:val="000000" w:themeColor="text1"/>
                </w:rPr>
                <w:t>&lt;*&gt;</w:t>
              </w:r>
            </w:hyperlink>
          </w:p>
        </w:tc>
      </w:tr>
    </w:tbl>
    <w:p w:rsidR="00105753" w:rsidRPr="00EE5792" w:rsidRDefault="00105753" w:rsidP="00105753">
      <w:pPr>
        <w:pStyle w:val="ConsPlusNormal"/>
        <w:ind w:firstLine="540"/>
        <w:jc w:val="both"/>
        <w:rPr>
          <w:rFonts w:ascii="Times New Roman" w:hAnsi="Times New Roman" w:cs="Times New Roman"/>
        </w:rPr>
      </w:pPr>
    </w:p>
    <w:p w:rsidR="00105753" w:rsidRPr="00DB720A" w:rsidRDefault="00105753" w:rsidP="00DB720A">
      <w:pPr>
        <w:widowControl w:val="0"/>
        <w:autoSpaceDE w:val="0"/>
        <w:autoSpaceDN w:val="0"/>
        <w:adjustRightInd w:val="0"/>
        <w:spacing w:line="360" w:lineRule="auto"/>
        <w:ind w:firstLine="540"/>
        <w:jc w:val="both"/>
        <w:rPr>
          <w:sz w:val="22"/>
          <w:szCs w:val="22"/>
        </w:rPr>
      </w:pPr>
      <w:r w:rsidRPr="00DB720A">
        <w:rPr>
          <w:sz w:val="22"/>
          <w:szCs w:val="22"/>
        </w:rPr>
        <w:t>--------------------------------</w:t>
      </w:r>
    </w:p>
    <w:p w:rsidR="00105753" w:rsidRPr="00EE5792" w:rsidRDefault="00105753" w:rsidP="00DB720A">
      <w:pPr>
        <w:widowControl w:val="0"/>
        <w:autoSpaceDE w:val="0"/>
        <w:autoSpaceDN w:val="0"/>
        <w:adjustRightInd w:val="0"/>
        <w:spacing w:line="360" w:lineRule="auto"/>
        <w:ind w:firstLine="540"/>
        <w:jc w:val="both"/>
      </w:pPr>
      <w:bookmarkStart w:id="10" w:name="P68"/>
      <w:bookmarkEnd w:id="10"/>
      <w:r w:rsidRPr="00DB720A">
        <w:rPr>
          <w:sz w:val="22"/>
          <w:szCs w:val="22"/>
        </w:rPr>
        <w:t>&lt;*&gt; Сбытовые надбавки для группы "прочие потребители" дифференцируются по подгруппам потребителей в зависимости от величины максимальной мощности принадлежащих им энергопринимающих устройств и устанавливаются в виде формулы как процент от цен на электрическую энергию и (или) мощность:</w:t>
      </w:r>
      <w:r w:rsidR="00DB720A" w:rsidRPr="00DB720A">
        <w:rPr>
          <w:sz w:val="22"/>
          <w:szCs w:val="22"/>
        </w:rPr>
        <w:t xml:space="preserve"> </w:t>
      </w:r>
      <w:r w:rsidRPr="00EE5792">
        <w:rPr>
          <w:noProof/>
          <w:position w:val="-14"/>
        </w:rPr>
        <w:drawing>
          <wp:inline distT="0" distB="0" distL="0" distR="0">
            <wp:extent cx="1819275" cy="285750"/>
            <wp:effectExtent l="0" t="0" r="0" b="0"/>
            <wp:docPr id="15" name="Рисунок 15" descr="base_24456_45834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4456_45834_8"/>
                    <pic:cNvPicPr preferRelativeResize="0">
                      <a:picLocks noChangeArrowheads="1"/>
                    </pic:cNvPicPr>
                  </pic:nvPicPr>
                  <pic:blipFill>
                    <a:blip r:embed="rId10" cstate="print"/>
                    <a:srcRect/>
                    <a:stretch>
                      <a:fillRect/>
                    </a:stretch>
                  </pic:blipFill>
                  <pic:spPr bwMode="auto">
                    <a:xfrm>
                      <a:off x="0" y="0"/>
                      <a:ext cx="1819275" cy="285750"/>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80"/>
        <w:gridCol w:w="3947"/>
        <w:gridCol w:w="4677"/>
      </w:tblGrid>
      <w:tr w:rsidR="00105753" w:rsidRPr="00EE5792" w:rsidTr="00DB720A">
        <w:tc>
          <w:tcPr>
            <w:tcW w:w="6180"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lastRenderedPageBreak/>
              <w:t>Группа потребителей</w:t>
            </w:r>
          </w:p>
        </w:tc>
        <w:tc>
          <w:tcPr>
            <w:tcW w:w="8624" w:type="dxa"/>
            <w:gridSpan w:val="2"/>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с 01.01.2016 по 30.06.2016</w:t>
            </w:r>
          </w:p>
        </w:tc>
      </w:tr>
      <w:tr w:rsidR="00105753" w:rsidRPr="00EE5792" w:rsidTr="00DB720A">
        <w:tc>
          <w:tcPr>
            <w:tcW w:w="6180" w:type="dxa"/>
            <w:vMerge/>
          </w:tcPr>
          <w:p w:rsidR="00105753" w:rsidRPr="00EE5792" w:rsidRDefault="00105753" w:rsidP="0017784C"/>
        </w:tc>
        <w:tc>
          <w:tcPr>
            <w:tcW w:w="8624" w:type="dxa"/>
            <w:gridSpan w:val="2"/>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процент </w:t>
            </w:r>
            <w:r w:rsidRPr="00EE5792">
              <w:rPr>
                <w:rFonts w:ascii="Times New Roman" w:hAnsi="Times New Roman" w:cs="Times New Roman"/>
                <w:noProof/>
                <w:position w:val="-14"/>
                <w:lang w:eastAsia="ru-RU"/>
              </w:rPr>
              <w:drawing>
                <wp:inline distT="0" distB="0" distL="0" distR="0">
                  <wp:extent cx="885825" cy="285750"/>
                  <wp:effectExtent l="19050" t="0" r="9525" b="0"/>
                  <wp:docPr id="16" name="Рисунок 16" descr="base_24456_45834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4456_45834_9"/>
                          <pic:cNvPicPr preferRelativeResize="0">
                            <a:picLocks noChangeArrowheads="1"/>
                          </pic:cNvPicPr>
                        </pic:nvPicPr>
                        <pic:blipFill>
                          <a:blip r:embed="rId11" cstate="print"/>
                          <a:srcRect/>
                          <a:stretch>
                            <a:fillRect/>
                          </a:stretch>
                        </pic:blipFill>
                        <pic:spPr bwMode="auto">
                          <a:xfrm>
                            <a:off x="0" y="0"/>
                            <a:ext cx="885825" cy="285750"/>
                          </a:xfrm>
                          <a:prstGeom prst="rect">
                            <a:avLst/>
                          </a:prstGeom>
                          <a:noFill/>
                          <a:ln w="9525">
                            <a:noFill/>
                            <a:miter lim="800000"/>
                            <a:headEnd/>
                            <a:tailEnd/>
                          </a:ln>
                        </pic:spPr>
                      </pic:pic>
                    </a:graphicData>
                  </a:graphic>
                </wp:inline>
              </w:drawing>
            </w:r>
          </w:p>
        </w:tc>
      </w:tr>
      <w:tr w:rsidR="00105753" w:rsidRPr="00EE5792" w:rsidTr="00DB720A">
        <w:tc>
          <w:tcPr>
            <w:tcW w:w="6180" w:type="dxa"/>
            <w:vMerge/>
          </w:tcPr>
          <w:p w:rsidR="00105753" w:rsidRPr="00EE5792" w:rsidRDefault="00105753" w:rsidP="0017784C"/>
        </w:tc>
        <w:tc>
          <w:tcPr>
            <w:tcW w:w="394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доходность продаж (ДК</w:t>
            </w:r>
            <w:proofErr w:type="gramStart"/>
            <w:r w:rsidRPr="00EE5792">
              <w:rPr>
                <w:rFonts w:ascii="Times New Roman" w:hAnsi="Times New Roman" w:cs="Times New Roman"/>
                <w:vertAlign w:val="subscript"/>
              </w:rPr>
              <w:t>i</w:t>
            </w:r>
            <w:proofErr w:type="gramEnd"/>
            <w:r w:rsidRPr="00EE5792">
              <w:rPr>
                <w:rFonts w:ascii="Times New Roman" w:hAnsi="Times New Roman" w:cs="Times New Roman"/>
                <w:vertAlign w:val="subscript"/>
              </w:rPr>
              <w:t>,k</w:t>
            </w:r>
            <w:r w:rsidRPr="00EE5792">
              <w:rPr>
                <w:rFonts w:ascii="Times New Roman" w:hAnsi="Times New Roman" w:cs="Times New Roman"/>
              </w:rPr>
              <w:t>)</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коэффициент параметров деятельности</w:t>
            </w:r>
            <w:proofErr w:type="gramStart"/>
            <w:r w:rsidRPr="00EE5792">
              <w:rPr>
                <w:rFonts w:ascii="Times New Roman" w:hAnsi="Times New Roman" w:cs="Times New Roman"/>
              </w:rPr>
              <w:t xml:space="preserve"> (</w:t>
            </w:r>
            <w:r w:rsidRPr="00EE5792">
              <w:rPr>
                <w:rFonts w:ascii="Times New Roman" w:hAnsi="Times New Roman" w:cs="Times New Roman"/>
                <w:noProof/>
                <w:position w:val="-12"/>
                <w:lang w:eastAsia="ru-RU"/>
              </w:rPr>
              <w:drawing>
                <wp:inline distT="0" distB="0" distL="0" distR="0">
                  <wp:extent cx="323850" cy="276225"/>
                  <wp:effectExtent l="0" t="0" r="0" b="0"/>
                  <wp:docPr id="17" name="Рисунок 17" descr="base_24456_45834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4456_45834_10"/>
                          <pic:cNvPicPr preferRelativeResize="0">
                            <a:picLocks noChangeArrowheads="1"/>
                          </pic:cNvPicPr>
                        </pic:nvPicPr>
                        <pic:blipFill>
                          <a:blip r:embed="rId12" cstate="print"/>
                          <a:srcRect/>
                          <a:stretch>
                            <a:fillRect/>
                          </a:stretch>
                        </pic:blipFill>
                        <pic:spPr bwMode="auto">
                          <a:xfrm>
                            <a:off x="0" y="0"/>
                            <a:ext cx="323850" cy="276225"/>
                          </a:xfrm>
                          <a:prstGeom prst="rect">
                            <a:avLst/>
                          </a:prstGeom>
                          <a:noFill/>
                          <a:ln w="9525">
                            <a:noFill/>
                            <a:miter lim="800000"/>
                            <a:headEnd/>
                            <a:tailEnd/>
                          </a:ln>
                        </pic:spPr>
                      </pic:pic>
                    </a:graphicData>
                  </a:graphic>
                </wp:inline>
              </w:drawing>
            </w:r>
            <w:r w:rsidRPr="00EE5792">
              <w:rPr>
                <w:rFonts w:ascii="Times New Roman" w:hAnsi="Times New Roman" w:cs="Times New Roman"/>
              </w:rPr>
              <w:t>)</w:t>
            </w:r>
            <w:proofErr w:type="gramEnd"/>
          </w:p>
        </w:tc>
      </w:tr>
      <w:tr w:rsidR="00105753" w:rsidRPr="00EE5792" w:rsidTr="00DB720A">
        <w:tc>
          <w:tcPr>
            <w:tcW w:w="6180"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менее 150 кВт</w:t>
            </w:r>
          </w:p>
        </w:tc>
        <w:tc>
          <w:tcPr>
            <w:tcW w:w="394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17,87%</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0,06</w:t>
            </w:r>
          </w:p>
        </w:tc>
      </w:tr>
      <w:tr w:rsidR="00105753" w:rsidRPr="00EE5792" w:rsidTr="00DB720A">
        <w:tc>
          <w:tcPr>
            <w:tcW w:w="6180"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от 150 до 670 кВт</w:t>
            </w:r>
          </w:p>
        </w:tc>
        <w:tc>
          <w:tcPr>
            <w:tcW w:w="394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16,42%</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0,06</w:t>
            </w:r>
          </w:p>
        </w:tc>
      </w:tr>
      <w:tr w:rsidR="00105753" w:rsidRPr="00EE5792" w:rsidTr="00DB720A">
        <w:tc>
          <w:tcPr>
            <w:tcW w:w="6180"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от 670 кВт до 10 МВт</w:t>
            </w:r>
          </w:p>
        </w:tc>
        <w:tc>
          <w:tcPr>
            <w:tcW w:w="394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11,19%</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0,06</w:t>
            </w:r>
          </w:p>
        </w:tc>
      </w:tr>
      <w:tr w:rsidR="00105753" w:rsidRPr="00EE5792" w:rsidTr="00DB720A">
        <w:tc>
          <w:tcPr>
            <w:tcW w:w="6180"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не менее 10 МВт</w:t>
            </w:r>
          </w:p>
        </w:tc>
        <w:tc>
          <w:tcPr>
            <w:tcW w:w="394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6,49%</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0,06</w:t>
            </w:r>
          </w:p>
        </w:tc>
      </w:tr>
    </w:tbl>
    <w:p w:rsidR="00DB720A" w:rsidRDefault="00DB720A" w:rsidP="00DB720A">
      <w:pPr>
        <w:widowControl w:val="0"/>
        <w:autoSpaceDE w:val="0"/>
        <w:autoSpaceDN w:val="0"/>
        <w:adjustRightInd w:val="0"/>
        <w:spacing w:line="360" w:lineRule="auto"/>
        <w:ind w:firstLine="540"/>
        <w:jc w:val="both"/>
        <w:rPr>
          <w:sz w:val="22"/>
          <w:szCs w:val="22"/>
          <w:lang w:val="en-US"/>
        </w:rPr>
      </w:pPr>
    </w:p>
    <w:p w:rsidR="00DB720A" w:rsidRDefault="00DB720A" w:rsidP="00DB720A">
      <w:pPr>
        <w:widowControl w:val="0"/>
        <w:autoSpaceDE w:val="0"/>
        <w:autoSpaceDN w:val="0"/>
        <w:adjustRightInd w:val="0"/>
        <w:spacing w:line="360" w:lineRule="auto"/>
        <w:ind w:firstLine="540"/>
        <w:jc w:val="both"/>
        <w:rPr>
          <w:sz w:val="22"/>
          <w:szCs w:val="22"/>
          <w:lang w:val="en-US"/>
        </w:rPr>
      </w:pPr>
    </w:p>
    <w:p w:rsidR="00DB720A" w:rsidRPr="00DB720A" w:rsidRDefault="00105753" w:rsidP="00DB720A">
      <w:pPr>
        <w:widowControl w:val="0"/>
        <w:autoSpaceDE w:val="0"/>
        <w:autoSpaceDN w:val="0"/>
        <w:adjustRightInd w:val="0"/>
        <w:spacing w:line="360" w:lineRule="auto"/>
        <w:ind w:firstLine="540"/>
        <w:jc w:val="both"/>
        <w:rPr>
          <w:sz w:val="22"/>
          <w:szCs w:val="22"/>
        </w:rPr>
      </w:pPr>
      <w:r w:rsidRPr="00DB720A">
        <w:rPr>
          <w:sz w:val="22"/>
          <w:szCs w:val="22"/>
        </w:rPr>
        <w:t>Цена на электрическую энергию и (или) мощность</w:t>
      </w:r>
      <w:proofErr w:type="gramStart"/>
      <w:r w:rsidRPr="00DB720A">
        <w:rPr>
          <w:sz w:val="22"/>
          <w:szCs w:val="22"/>
        </w:rPr>
        <w:t xml:space="preserve"> (</w:t>
      </w:r>
      <w:r w:rsidRPr="00DB720A">
        <w:rPr>
          <w:noProof/>
          <w:sz w:val="22"/>
          <w:szCs w:val="22"/>
        </w:rPr>
        <w:drawing>
          <wp:inline distT="0" distB="0" distL="0" distR="0">
            <wp:extent cx="352425" cy="285750"/>
            <wp:effectExtent l="0" t="0" r="0" b="0"/>
            <wp:docPr id="21" name="Рисунок 21" descr="base_24456_45834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4456_45834_11"/>
                    <pic:cNvPicPr preferRelativeResize="0">
                      <a:picLocks noChangeArrowheads="1"/>
                    </pic:cNvPicPr>
                  </pic:nvPicPr>
                  <pic:blipFill>
                    <a:blip r:embed="rId13" cstate="print"/>
                    <a:srcRect/>
                    <a:stretch>
                      <a:fillRect/>
                    </a:stretch>
                  </pic:blipFill>
                  <pic:spPr bwMode="auto">
                    <a:xfrm>
                      <a:off x="0" y="0"/>
                      <a:ext cx="352425" cy="285750"/>
                    </a:xfrm>
                    <a:prstGeom prst="rect">
                      <a:avLst/>
                    </a:prstGeom>
                    <a:noFill/>
                    <a:ln w="9525">
                      <a:noFill/>
                      <a:miter lim="800000"/>
                      <a:headEnd/>
                      <a:tailEnd/>
                    </a:ln>
                  </pic:spPr>
                </pic:pic>
              </a:graphicData>
            </a:graphic>
          </wp:inline>
        </w:drawing>
      </w:r>
      <w:r w:rsidRPr="00DB720A">
        <w:rPr>
          <w:sz w:val="22"/>
          <w:szCs w:val="22"/>
        </w:rPr>
        <w:t xml:space="preserve">) </w:t>
      </w:r>
      <w:proofErr w:type="gramEnd"/>
      <w:r w:rsidRPr="00DB720A">
        <w:rPr>
          <w:sz w:val="22"/>
          <w:szCs w:val="22"/>
        </w:rPr>
        <w:t xml:space="preserve">определяется в соответствии с </w:t>
      </w:r>
      <w:hyperlink r:id="rId14" w:history="1">
        <w:r w:rsidRPr="00DB720A">
          <w:rPr>
            <w:sz w:val="22"/>
            <w:szCs w:val="22"/>
          </w:rPr>
          <w:t>Правилами</w:t>
        </w:r>
      </w:hyperlink>
      <w:r w:rsidRPr="00DB720A">
        <w:rPr>
          <w:sz w:val="22"/>
          <w:szCs w:val="22"/>
        </w:rPr>
        <w:t xml:space="preserve">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Российской Федерации от 29 декабря 2011 года N 1179, исходя из ценовой категории, применяемой для расчетов с потребителем.</w:t>
      </w:r>
    </w:p>
    <w:p w:rsidR="00DB720A" w:rsidRPr="00DB720A" w:rsidRDefault="00DB720A" w:rsidP="00DB720A">
      <w:pPr>
        <w:widowControl w:val="0"/>
        <w:autoSpaceDE w:val="0"/>
        <w:autoSpaceDN w:val="0"/>
        <w:adjustRightInd w:val="0"/>
        <w:spacing w:line="360" w:lineRule="auto"/>
        <w:ind w:firstLine="540"/>
        <w:jc w:val="both"/>
        <w:rPr>
          <w:sz w:val="22"/>
          <w:szCs w:val="22"/>
        </w:rPr>
      </w:pPr>
    </w:p>
    <w:p w:rsidR="00DB720A" w:rsidRPr="00DB720A" w:rsidRDefault="00DB720A" w:rsidP="00DB720A">
      <w:pPr>
        <w:widowControl w:val="0"/>
        <w:autoSpaceDE w:val="0"/>
        <w:autoSpaceDN w:val="0"/>
        <w:adjustRightInd w:val="0"/>
        <w:spacing w:line="360" w:lineRule="auto"/>
        <w:ind w:firstLine="540"/>
        <w:jc w:val="both"/>
        <w:rPr>
          <w:sz w:val="22"/>
          <w:szCs w:val="22"/>
        </w:rPr>
      </w:pPr>
    </w:p>
    <w:p w:rsidR="00DB720A" w:rsidRPr="00DB720A" w:rsidRDefault="00DB720A" w:rsidP="00DB720A">
      <w:pPr>
        <w:widowControl w:val="0"/>
        <w:autoSpaceDE w:val="0"/>
        <w:autoSpaceDN w:val="0"/>
        <w:adjustRightInd w:val="0"/>
        <w:spacing w:line="360" w:lineRule="auto"/>
        <w:ind w:firstLine="540"/>
        <w:jc w:val="both"/>
        <w:rPr>
          <w:sz w:val="22"/>
          <w:szCs w:val="22"/>
        </w:rPr>
      </w:pPr>
    </w:p>
    <w:p w:rsidR="00DB720A" w:rsidRPr="00DB720A" w:rsidRDefault="00DB720A" w:rsidP="00DB720A">
      <w:pPr>
        <w:widowControl w:val="0"/>
        <w:autoSpaceDE w:val="0"/>
        <w:autoSpaceDN w:val="0"/>
        <w:adjustRightInd w:val="0"/>
        <w:spacing w:line="360" w:lineRule="auto"/>
        <w:ind w:firstLine="540"/>
        <w:jc w:val="both"/>
        <w:rPr>
          <w:sz w:val="22"/>
          <w:szCs w:val="22"/>
        </w:rPr>
      </w:pPr>
    </w:p>
    <w:p w:rsidR="00DB720A" w:rsidRPr="00DB720A" w:rsidRDefault="00DB720A" w:rsidP="00DB720A">
      <w:pPr>
        <w:widowControl w:val="0"/>
        <w:autoSpaceDE w:val="0"/>
        <w:autoSpaceDN w:val="0"/>
        <w:adjustRightInd w:val="0"/>
        <w:spacing w:line="360" w:lineRule="auto"/>
        <w:ind w:firstLine="540"/>
        <w:jc w:val="both"/>
        <w:rPr>
          <w:sz w:val="22"/>
          <w:szCs w:val="22"/>
        </w:rPr>
      </w:pPr>
    </w:p>
    <w:p w:rsidR="00DB720A" w:rsidRPr="00C33720" w:rsidRDefault="00DB720A" w:rsidP="00DB720A">
      <w:pPr>
        <w:widowControl w:val="0"/>
        <w:autoSpaceDE w:val="0"/>
        <w:autoSpaceDN w:val="0"/>
        <w:adjustRightInd w:val="0"/>
        <w:spacing w:line="360" w:lineRule="auto"/>
        <w:ind w:firstLine="540"/>
        <w:jc w:val="both"/>
        <w:rPr>
          <w:sz w:val="22"/>
          <w:szCs w:val="22"/>
        </w:rPr>
      </w:pPr>
    </w:p>
    <w:p w:rsidR="00223A2B" w:rsidRPr="00C33720" w:rsidRDefault="00223A2B" w:rsidP="00DB720A">
      <w:pPr>
        <w:widowControl w:val="0"/>
        <w:autoSpaceDE w:val="0"/>
        <w:autoSpaceDN w:val="0"/>
        <w:adjustRightInd w:val="0"/>
        <w:spacing w:line="360" w:lineRule="auto"/>
        <w:ind w:firstLine="540"/>
        <w:jc w:val="both"/>
        <w:rPr>
          <w:sz w:val="22"/>
          <w:szCs w:val="22"/>
        </w:rPr>
      </w:pPr>
    </w:p>
    <w:p w:rsidR="00223A2B" w:rsidRPr="00C33720" w:rsidRDefault="00223A2B" w:rsidP="00DB720A">
      <w:pPr>
        <w:widowControl w:val="0"/>
        <w:autoSpaceDE w:val="0"/>
        <w:autoSpaceDN w:val="0"/>
        <w:adjustRightInd w:val="0"/>
        <w:spacing w:line="360" w:lineRule="auto"/>
        <w:ind w:firstLine="540"/>
        <w:jc w:val="both"/>
        <w:rPr>
          <w:sz w:val="22"/>
          <w:szCs w:val="22"/>
        </w:rPr>
      </w:pPr>
    </w:p>
    <w:p w:rsidR="00223A2B" w:rsidRPr="00C33720" w:rsidRDefault="00223A2B" w:rsidP="00DB720A">
      <w:pPr>
        <w:widowControl w:val="0"/>
        <w:autoSpaceDE w:val="0"/>
        <w:autoSpaceDN w:val="0"/>
        <w:adjustRightInd w:val="0"/>
        <w:spacing w:line="360" w:lineRule="auto"/>
        <w:ind w:firstLine="540"/>
        <w:jc w:val="both"/>
        <w:rPr>
          <w:sz w:val="22"/>
          <w:szCs w:val="22"/>
        </w:rPr>
      </w:pP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lastRenderedPageBreak/>
        <w:t>Приложение N 2</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к постановлению</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Государственного комитета</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Республики Карелия</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по ценам и тарифам</w:t>
      </w:r>
    </w:p>
    <w:p w:rsidR="00105753" w:rsidRPr="00DB720A" w:rsidRDefault="00105753" w:rsidP="00105753">
      <w:pPr>
        <w:pStyle w:val="ConsPlusNormal"/>
        <w:jc w:val="right"/>
        <w:rPr>
          <w:rFonts w:ascii="Times New Roman" w:hAnsi="Times New Roman" w:cs="Times New Roman"/>
          <w:sz w:val="16"/>
          <w:szCs w:val="16"/>
        </w:rPr>
      </w:pPr>
      <w:r w:rsidRPr="00DB720A">
        <w:rPr>
          <w:rFonts w:ascii="Times New Roman" w:hAnsi="Times New Roman" w:cs="Times New Roman"/>
          <w:sz w:val="16"/>
          <w:szCs w:val="16"/>
        </w:rPr>
        <w:t>от 23 декабря 2015 года N 301</w:t>
      </w:r>
    </w:p>
    <w:p w:rsidR="00105753" w:rsidRPr="00DB720A" w:rsidRDefault="00105753" w:rsidP="00105753">
      <w:pPr>
        <w:pStyle w:val="ConsPlusTitle"/>
        <w:jc w:val="center"/>
        <w:rPr>
          <w:rFonts w:ascii="Times New Roman" w:hAnsi="Times New Roman" w:cs="Times New Roman"/>
          <w:b w:val="0"/>
          <w:sz w:val="20"/>
        </w:rPr>
      </w:pPr>
    </w:p>
    <w:p w:rsidR="00105753" w:rsidRPr="00DB720A" w:rsidRDefault="00105753" w:rsidP="00105753">
      <w:pPr>
        <w:pStyle w:val="ConsPlusTitle"/>
        <w:jc w:val="center"/>
        <w:rPr>
          <w:rFonts w:ascii="Times New Roman" w:hAnsi="Times New Roman" w:cs="Times New Roman"/>
          <w:b w:val="0"/>
          <w:sz w:val="20"/>
        </w:rPr>
      </w:pPr>
    </w:p>
    <w:p w:rsidR="00105753" w:rsidRPr="00DB720A" w:rsidRDefault="00105753" w:rsidP="00105753">
      <w:pPr>
        <w:pStyle w:val="ConsPlusTitle"/>
        <w:jc w:val="center"/>
        <w:rPr>
          <w:rFonts w:ascii="Times New Roman" w:hAnsi="Times New Roman" w:cs="Times New Roman"/>
          <w:b w:val="0"/>
          <w:sz w:val="20"/>
        </w:rPr>
      </w:pPr>
      <w:r w:rsidRPr="00DB720A">
        <w:rPr>
          <w:rFonts w:ascii="Times New Roman" w:hAnsi="Times New Roman" w:cs="Times New Roman"/>
          <w:b w:val="0"/>
          <w:sz w:val="20"/>
        </w:rPr>
        <w:t>СБЫТОВАЯ НАДБАВКА</w:t>
      </w:r>
    </w:p>
    <w:p w:rsidR="00105753" w:rsidRPr="00DB720A" w:rsidRDefault="00105753" w:rsidP="00105753">
      <w:pPr>
        <w:pStyle w:val="ConsPlusTitle"/>
        <w:jc w:val="center"/>
        <w:rPr>
          <w:rFonts w:ascii="Times New Roman" w:hAnsi="Times New Roman" w:cs="Times New Roman"/>
          <w:b w:val="0"/>
          <w:sz w:val="20"/>
        </w:rPr>
      </w:pPr>
      <w:r w:rsidRPr="00DB720A">
        <w:rPr>
          <w:rFonts w:ascii="Times New Roman" w:hAnsi="Times New Roman" w:cs="Times New Roman"/>
          <w:b w:val="0"/>
          <w:sz w:val="20"/>
        </w:rPr>
        <w:t>ГАРАНТИРУЮЩЕГО ПОСТАВЩИКА ЭЛЕКТРИЧЕСКОЙ</w:t>
      </w:r>
      <w:r w:rsidR="00DB720A" w:rsidRPr="00DB720A">
        <w:rPr>
          <w:rFonts w:ascii="Times New Roman" w:hAnsi="Times New Roman" w:cs="Times New Roman"/>
          <w:b w:val="0"/>
          <w:sz w:val="20"/>
        </w:rPr>
        <w:t xml:space="preserve"> </w:t>
      </w:r>
      <w:r w:rsidRPr="00DB720A">
        <w:rPr>
          <w:rFonts w:ascii="Times New Roman" w:hAnsi="Times New Roman" w:cs="Times New Roman"/>
          <w:b w:val="0"/>
          <w:sz w:val="20"/>
        </w:rPr>
        <w:t>ЭНЕРГИИ ОБЩЕСТВА С ОГРАНИЧЕННОЙ ОТВЕТСТВЕННОСТЬЮ</w:t>
      </w:r>
    </w:p>
    <w:p w:rsidR="00105753" w:rsidRPr="00DB720A" w:rsidRDefault="0017784C" w:rsidP="00105753">
      <w:pPr>
        <w:pStyle w:val="ConsPlusTitle"/>
        <w:jc w:val="center"/>
        <w:rPr>
          <w:rFonts w:ascii="Times New Roman" w:hAnsi="Times New Roman" w:cs="Times New Roman"/>
          <w:b w:val="0"/>
          <w:sz w:val="20"/>
        </w:rPr>
      </w:pPr>
      <w:r w:rsidRPr="00DB720A">
        <w:rPr>
          <w:rFonts w:ascii="Times New Roman" w:hAnsi="Times New Roman" w:cs="Times New Roman"/>
          <w:b w:val="0"/>
          <w:sz w:val="20"/>
        </w:rPr>
        <w:t>«</w:t>
      </w:r>
      <w:r w:rsidR="00105753" w:rsidRPr="00DB720A">
        <w:rPr>
          <w:rFonts w:ascii="Times New Roman" w:hAnsi="Times New Roman" w:cs="Times New Roman"/>
          <w:b w:val="0"/>
          <w:sz w:val="20"/>
        </w:rPr>
        <w:t>ЭНЕРГОКОМФОРТ. ЕДИНАЯ КАРЕЛЬСКАЯ СБЫТОВАЯ КОМПАНИЯ</w:t>
      </w:r>
      <w:r w:rsidRPr="00DB720A">
        <w:rPr>
          <w:rFonts w:ascii="Times New Roman" w:hAnsi="Times New Roman" w:cs="Times New Roman"/>
          <w:b w:val="0"/>
          <w:sz w:val="20"/>
        </w:rPr>
        <w:t>»</w:t>
      </w:r>
      <w:r w:rsidR="00DB720A" w:rsidRPr="00DB720A">
        <w:rPr>
          <w:rFonts w:ascii="Times New Roman" w:hAnsi="Times New Roman" w:cs="Times New Roman"/>
          <w:b w:val="0"/>
          <w:sz w:val="20"/>
        </w:rPr>
        <w:t xml:space="preserve"> </w:t>
      </w:r>
      <w:r w:rsidR="00105753" w:rsidRPr="00DB720A">
        <w:rPr>
          <w:rFonts w:ascii="Times New Roman" w:hAnsi="Times New Roman" w:cs="Times New Roman"/>
          <w:b w:val="0"/>
          <w:sz w:val="20"/>
        </w:rPr>
        <w:t>С 1 ИЮЛЯ 2016 ГОДА ПО 31 ДЕКАБРЯ 2016 ГОДА</w:t>
      </w:r>
    </w:p>
    <w:p w:rsidR="00105753" w:rsidRPr="00EE5792" w:rsidRDefault="00105753" w:rsidP="0010575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373"/>
        <w:gridCol w:w="3218"/>
        <w:gridCol w:w="3969"/>
        <w:gridCol w:w="4677"/>
      </w:tblGrid>
      <w:tr w:rsidR="00105753" w:rsidRPr="00EE5792" w:rsidTr="00DB720A">
        <w:tc>
          <w:tcPr>
            <w:tcW w:w="567"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 xml:space="preserve">N </w:t>
            </w:r>
            <w:proofErr w:type="gramStart"/>
            <w:r w:rsidRPr="00EE5792">
              <w:rPr>
                <w:rFonts w:ascii="Times New Roman" w:hAnsi="Times New Roman" w:cs="Times New Roman"/>
              </w:rPr>
              <w:t>п</w:t>
            </w:r>
            <w:proofErr w:type="gramEnd"/>
            <w:r w:rsidRPr="00EE5792">
              <w:rPr>
                <w:rFonts w:ascii="Times New Roman" w:hAnsi="Times New Roman" w:cs="Times New Roman"/>
              </w:rPr>
              <w:t>/п</w:t>
            </w:r>
          </w:p>
        </w:tc>
        <w:tc>
          <w:tcPr>
            <w:tcW w:w="2373"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Наименование организации</w:t>
            </w:r>
          </w:p>
        </w:tc>
        <w:tc>
          <w:tcPr>
            <w:tcW w:w="11864" w:type="dxa"/>
            <w:gridSpan w:val="3"/>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Сбытовая надбавка</w:t>
            </w:r>
          </w:p>
        </w:tc>
      </w:tr>
      <w:tr w:rsidR="00105753" w:rsidRPr="00EE5792" w:rsidTr="00DB720A">
        <w:tc>
          <w:tcPr>
            <w:tcW w:w="567" w:type="dxa"/>
            <w:vMerge/>
          </w:tcPr>
          <w:p w:rsidR="00105753" w:rsidRPr="00EE5792" w:rsidRDefault="00105753" w:rsidP="0017784C"/>
        </w:tc>
        <w:tc>
          <w:tcPr>
            <w:tcW w:w="2373" w:type="dxa"/>
            <w:vMerge/>
          </w:tcPr>
          <w:p w:rsidR="00105753" w:rsidRPr="00EE5792" w:rsidRDefault="00105753" w:rsidP="0017784C"/>
        </w:tc>
        <w:tc>
          <w:tcPr>
            <w:tcW w:w="321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тарифная группа "население"</w:t>
            </w:r>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тарифная группа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потребители всех тарифных групп, за исключением 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r>
      <w:tr w:rsidR="00105753" w:rsidRPr="00EE5792" w:rsidTr="00DB720A">
        <w:tc>
          <w:tcPr>
            <w:tcW w:w="567" w:type="dxa"/>
            <w:vAlign w:val="center"/>
          </w:tcPr>
          <w:p w:rsidR="00105753" w:rsidRPr="00EE5792" w:rsidRDefault="00105753" w:rsidP="0017784C">
            <w:pPr>
              <w:pStyle w:val="ConsPlusNormal"/>
              <w:jc w:val="center"/>
              <w:rPr>
                <w:rFonts w:ascii="Times New Roman" w:hAnsi="Times New Roman" w:cs="Times New Roman"/>
              </w:rPr>
            </w:pPr>
          </w:p>
        </w:tc>
        <w:tc>
          <w:tcPr>
            <w:tcW w:w="2373" w:type="dxa"/>
            <w:vAlign w:val="center"/>
          </w:tcPr>
          <w:p w:rsidR="00105753" w:rsidRPr="00EE5792" w:rsidRDefault="00105753" w:rsidP="0017784C">
            <w:pPr>
              <w:pStyle w:val="ConsPlusNormal"/>
              <w:jc w:val="center"/>
              <w:rPr>
                <w:rFonts w:ascii="Times New Roman" w:hAnsi="Times New Roman" w:cs="Times New Roman"/>
              </w:rPr>
            </w:pPr>
          </w:p>
        </w:tc>
        <w:tc>
          <w:tcPr>
            <w:tcW w:w="321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руб./кВт</w:t>
            </w:r>
            <w:proofErr w:type="gramStart"/>
            <w:r w:rsidRPr="00EE5792">
              <w:rPr>
                <w:rFonts w:ascii="Times New Roman" w:hAnsi="Times New Roman" w:cs="Times New Roman"/>
              </w:rPr>
              <w:t>.ч</w:t>
            </w:r>
            <w:proofErr w:type="gramEnd"/>
          </w:p>
        </w:tc>
      </w:tr>
      <w:tr w:rsidR="00105753" w:rsidRPr="00EE5792" w:rsidTr="00DB720A">
        <w:tc>
          <w:tcPr>
            <w:tcW w:w="56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w:t>
            </w:r>
          </w:p>
        </w:tc>
        <w:tc>
          <w:tcPr>
            <w:tcW w:w="237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2</w:t>
            </w:r>
          </w:p>
        </w:tc>
        <w:tc>
          <w:tcPr>
            <w:tcW w:w="321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3</w:t>
            </w:r>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4</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5</w:t>
            </w:r>
          </w:p>
        </w:tc>
      </w:tr>
      <w:tr w:rsidR="00105753" w:rsidRPr="00EE5792" w:rsidTr="00DB720A">
        <w:tc>
          <w:tcPr>
            <w:tcW w:w="56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w:t>
            </w:r>
          </w:p>
        </w:tc>
        <w:tc>
          <w:tcPr>
            <w:tcW w:w="2373"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 xml:space="preserve">ООО </w:t>
            </w:r>
            <w:r w:rsidR="0017784C" w:rsidRPr="00EE5792">
              <w:rPr>
                <w:rFonts w:ascii="Times New Roman" w:hAnsi="Times New Roman" w:cs="Times New Roman"/>
              </w:rPr>
              <w:t>«</w:t>
            </w:r>
            <w:r w:rsidRPr="00EE5792">
              <w:rPr>
                <w:rFonts w:ascii="Times New Roman" w:hAnsi="Times New Roman" w:cs="Times New Roman"/>
              </w:rPr>
              <w:t>Энергокомфорт. Единая Карельская сбытовая компания</w:t>
            </w:r>
            <w:r w:rsidR="0017784C" w:rsidRPr="00EE5792">
              <w:rPr>
                <w:rFonts w:ascii="Times New Roman" w:hAnsi="Times New Roman" w:cs="Times New Roman"/>
              </w:rPr>
              <w:t>»</w:t>
            </w:r>
          </w:p>
        </w:tc>
        <w:tc>
          <w:tcPr>
            <w:tcW w:w="3218"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0,11</w:t>
            </w:r>
          </w:p>
        </w:tc>
        <w:tc>
          <w:tcPr>
            <w:tcW w:w="3969"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0,001</w:t>
            </w:r>
          </w:p>
        </w:tc>
        <w:tc>
          <w:tcPr>
            <w:tcW w:w="4677" w:type="dxa"/>
            <w:vAlign w:val="center"/>
          </w:tcPr>
          <w:p w:rsidR="00105753" w:rsidRPr="00EE5792" w:rsidRDefault="00774240" w:rsidP="0017784C">
            <w:pPr>
              <w:pStyle w:val="ConsPlusNormal"/>
              <w:jc w:val="center"/>
              <w:rPr>
                <w:rFonts w:ascii="Times New Roman" w:hAnsi="Times New Roman" w:cs="Times New Roman"/>
                <w:color w:val="000000" w:themeColor="text1"/>
              </w:rPr>
            </w:pPr>
            <w:hyperlink w:anchor="P132" w:history="1">
              <w:r w:rsidR="00105753" w:rsidRPr="00EE5792">
                <w:rPr>
                  <w:rFonts w:ascii="Times New Roman" w:hAnsi="Times New Roman" w:cs="Times New Roman"/>
                  <w:color w:val="000000" w:themeColor="text1"/>
                </w:rPr>
                <w:t>&lt;*&gt;</w:t>
              </w:r>
            </w:hyperlink>
          </w:p>
        </w:tc>
      </w:tr>
    </w:tbl>
    <w:p w:rsidR="00105753" w:rsidRPr="00EE5792" w:rsidRDefault="00105753" w:rsidP="00105753">
      <w:pPr>
        <w:pStyle w:val="ConsPlusNormal"/>
        <w:ind w:firstLine="540"/>
        <w:jc w:val="both"/>
        <w:rPr>
          <w:rFonts w:ascii="Times New Roman" w:hAnsi="Times New Roman" w:cs="Times New Roman"/>
        </w:rPr>
      </w:pPr>
    </w:p>
    <w:p w:rsidR="00105753" w:rsidRPr="00DB720A" w:rsidRDefault="00105753" w:rsidP="00DB720A">
      <w:pPr>
        <w:widowControl w:val="0"/>
        <w:autoSpaceDE w:val="0"/>
        <w:autoSpaceDN w:val="0"/>
        <w:adjustRightInd w:val="0"/>
        <w:spacing w:line="360" w:lineRule="auto"/>
        <w:ind w:firstLine="540"/>
        <w:jc w:val="both"/>
        <w:rPr>
          <w:sz w:val="22"/>
          <w:szCs w:val="22"/>
        </w:rPr>
      </w:pPr>
      <w:r w:rsidRPr="00DB720A">
        <w:rPr>
          <w:sz w:val="22"/>
          <w:szCs w:val="22"/>
        </w:rPr>
        <w:t>--------------------------------</w:t>
      </w:r>
    </w:p>
    <w:p w:rsidR="00105753" w:rsidRPr="00DB720A" w:rsidRDefault="00105753" w:rsidP="00DB720A">
      <w:pPr>
        <w:widowControl w:val="0"/>
        <w:autoSpaceDE w:val="0"/>
        <w:autoSpaceDN w:val="0"/>
        <w:adjustRightInd w:val="0"/>
        <w:spacing w:line="360" w:lineRule="auto"/>
        <w:ind w:firstLine="540"/>
        <w:jc w:val="both"/>
        <w:rPr>
          <w:sz w:val="22"/>
          <w:szCs w:val="22"/>
        </w:rPr>
      </w:pPr>
      <w:bookmarkStart w:id="11" w:name="P132"/>
      <w:bookmarkEnd w:id="11"/>
      <w:r w:rsidRPr="00DB720A">
        <w:rPr>
          <w:sz w:val="22"/>
          <w:szCs w:val="22"/>
        </w:rPr>
        <w:t xml:space="preserve">&lt;*&gt; Сбытовые надбавки для группы </w:t>
      </w:r>
      <w:r w:rsidR="0017784C" w:rsidRPr="00DB720A">
        <w:rPr>
          <w:sz w:val="22"/>
          <w:szCs w:val="22"/>
        </w:rPr>
        <w:t>«</w:t>
      </w:r>
      <w:r w:rsidRPr="00DB720A">
        <w:rPr>
          <w:sz w:val="22"/>
          <w:szCs w:val="22"/>
        </w:rPr>
        <w:t>прочие потребители</w:t>
      </w:r>
      <w:r w:rsidR="0017784C" w:rsidRPr="00DB720A">
        <w:rPr>
          <w:sz w:val="22"/>
          <w:szCs w:val="22"/>
        </w:rPr>
        <w:t>»</w:t>
      </w:r>
      <w:r w:rsidRPr="00DB720A">
        <w:rPr>
          <w:sz w:val="22"/>
          <w:szCs w:val="22"/>
        </w:rPr>
        <w:t xml:space="preserve"> дифференцируются по подгруппам потребителей в зависимости от величины максимальной мощности принадлежащих им энергопринимающих устройств и устанавливаются в виде формулы как процент от цен на электрическую энергию и (или) мощность:</w:t>
      </w:r>
    </w:p>
    <w:p w:rsidR="00105753" w:rsidRPr="00DB720A" w:rsidRDefault="00105753" w:rsidP="00DB720A">
      <w:pPr>
        <w:widowControl w:val="0"/>
        <w:autoSpaceDE w:val="0"/>
        <w:autoSpaceDN w:val="0"/>
        <w:adjustRightInd w:val="0"/>
        <w:spacing w:line="360" w:lineRule="auto"/>
        <w:ind w:firstLine="540"/>
        <w:jc w:val="both"/>
        <w:rPr>
          <w:sz w:val="22"/>
          <w:szCs w:val="22"/>
        </w:rPr>
      </w:pPr>
    </w:p>
    <w:p w:rsidR="00105753" w:rsidRPr="00DB720A" w:rsidRDefault="00105753" w:rsidP="00DB720A">
      <w:pPr>
        <w:widowControl w:val="0"/>
        <w:autoSpaceDE w:val="0"/>
        <w:autoSpaceDN w:val="0"/>
        <w:adjustRightInd w:val="0"/>
        <w:spacing w:line="360" w:lineRule="auto"/>
        <w:ind w:firstLine="540"/>
        <w:jc w:val="both"/>
        <w:rPr>
          <w:sz w:val="22"/>
          <w:szCs w:val="22"/>
        </w:rPr>
      </w:pPr>
      <w:r w:rsidRPr="00DB720A">
        <w:rPr>
          <w:noProof/>
          <w:sz w:val="22"/>
          <w:szCs w:val="22"/>
        </w:rPr>
        <w:drawing>
          <wp:inline distT="0" distB="0" distL="0" distR="0">
            <wp:extent cx="1819275" cy="285750"/>
            <wp:effectExtent l="0" t="0" r="0" b="0"/>
            <wp:docPr id="26" name="Рисунок 26" descr="base_24456_45834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4456_45834_12"/>
                    <pic:cNvPicPr preferRelativeResize="0">
                      <a:picLocks noChangeArrowheads="1"/>
                    </pic:cNvPicPr>
                  </pic:nvPicPr>
                  <pic:blipFill>
                    <a:blip r:embed="rId15" cstate="print"/>
                    <a:srcRect/>
                    <a:stretch>
                      <a:fillRect/>
                    </a:stretch>
                  </pic:blipFill>
                  <pic:spPr bwMode="auto">
                    <a:xfrm>
                      <a:off x="0" y="0"/>
                      <a:ext cx="1819275" cy="285750"/>
                    </a:xfrm>
                    <a:prstGeom prst="rect">
                      <a:avLst/>
                    </a:prstGeom>
                    <a:noFill/>
                    <a:ln w="9525">
                      <a:noFill/>
                      <a:miter lim="800000"/>
                      <a:headEnd/>
                      <a:tailEnd/>
                    </a:ln>
                  </pic:spPr>
                </pic:pic>
              </a:graphicData>
            </a:graphic>
          </wp:inline>
        </w:drawing>
      </w:r>
    </w:p>
    <w:p w:rsidR="00105753" w:rsidRPr="00EE5792" w:rsidRDefault="00105753" w:rsidP="0010575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16"/>
        <w:gridCol w:w="4111"/>
        <w:gridCol w:w="4677"/>
      </w:tblGrid>
      <w:tr w:rsidR="00105753" w:rsidRPr="00EE5792" w:rsidTr="00DB720A">
        <w:tc>
          <w:tcPr>
            <w:tcW w:w="6016" w:type="dxa"/>
            <w:vMerge w:val="restart"/>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lastRenderedPageBreak/>
              <w:t>Группа потребителей</w:t>
            </w:r>
          </w:p>
        </w:tc>
        <w:tc>
          <w:tcPr>
            <w:tcW w:w="8788" w:type="dxa"/>
            <w:gridSpan w:val="2"/>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с 01.07.2016 по 31.12.2016</w:t>
            </w:r>
          </w:p>
        </w:tc>
      </w:tr>
      <w:tr w:rsidR="00105753" w:rsidRPr="00EE5792" w:rsidTr="00DB720A">
        <w:tc>
          <w:tcPr>
            <w:tcW w:w="6016" w:type="dxa"/>
            <w:vMerge/>
          </w:tcPr>
          <w:p w:rsidR="00105753" w:rsidRPr="00EE5792" w:rsidRDefault="00105753" w:rsidP="0017784C"/>
        </w:tc>
        <w:tc>
          <w:tcPr>
            <w:tcW w:w="8788" w:type="dxa"/>
            <w:gridSpan w:val="2"/>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процент </w:t>
            </w:r>
            <w:r w:rsidRPr="00EE5792">
              <w:rPr>
                <w:rFonts w:ascii="Times New Roman" w:hAnsi="Times New Roman" w:cs="Times New Roman"/>
                <w:noProof/>
                <w:position w:val="-14"/>
                <w:lang w:eastAsia="ru-RU"/>
              </w:rPr>
              <w:drawing>
                <wp:inline distT="0" distB="0" distL="0" distR="0">
                  <wp:extent cx="885825" cy="285750"/>
                  <wp:effectExtent l="19050" t="0" r="9525" b="0"/>
                  <wp:docPr id="27" name="Рисунок 27" descr="base_24456_45834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4456_45834_13"/>
                          <pic:cNvPicPr preferRelativeResize="0">
                            <a:picLocks noChangeArrowheads="1"/>
                          </pic:cNvPicPr>
                        </pic:nvPicPr>
                        <pic:blipFill>
                          <a:blip r:embed="rId16" cstate="print"/>
                          <a:srcRect/>
                          <a:stretch>
                            <a:fillRect/>
                          </a:stretch>
                        </pic:blipFill>
                        <pic:spPr bwMode="auto">
                          <a:xfrm>
                            <a:off x="0" y="0"/>
                            <a:ext cx="885825" cy="285750"/>
                          </a:xfrm>
                          <a:prstGeom prst="rect">
                            <a:avLst/>
                          </a:prstGeom>
                          <a:noFill/>
                          <a:ln w="9525">
                            <a:noFill/>
                            <a:miter lim="800000"/>
                            <a:headEnd/>
                            <a:tailEnd/>
                          </a:ln>
                        </pic:spPr>
                      </pic:pic>
                    </a:graphicData>
                  </a:graphic>
                </wp:inline>
              </w:drawing>
            </w:r>
          </w:p>
        </w:tc>
      </w:tr>
      <w:tr w:rsidR="00105753" w:rsidRPr="00EE5792" w:rsidTr="00DB720A">
        <w:tc>
          <w:tcPr>
            <w:tcW w:w="6016" w:type="dxa"/>
            <w:vMerge/>
          </w:tcPr>
          <w:p w:rsidR="00105753" w:rsidRPr="00EE5792" w:rsidRDefault="00105753" w:rsidP="0017784C"/>
        </w:tc>
        <w:tc>
          <w:tcPr>
            <w:tcW w:w="411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доходность продаж (ДП</w:t>
            </w:r>
            <w:proofErr w:type="gramStart"/>
            <w:r w:rsidRPr="00EE5792">
              <w:rPr>
                <w:rFonts w:ascii="Times New Roman" w:hAnsi="Times New Roman" w:cs="Times New Roman"/>
                <w:vertAlign w:val="subscript"/>
              </w:rPr>
              <w:t>i</w:t>
            </w:r>
            <w:proofErr w:type="gramEnd"/>
            <w:r w:rsidRPr="00EE5792">
              <w:rPr>
                <w:rFonts w:ascii="Times New Roman" w:hAnsi="Times New Roman" w:cs="Times New Roman"/>
                <w:vertAlign w:val="subscript"/>
              </w:rPr>
              <w:t>,k</w:t>
            </w:r>
            <w:r w:rsidRPr="00EE5792">
              <w:rPr>
                <w:rFonts w:ascii="Times New Roman" w:hAnsi="Times New Roman" w:cs="Times New Roman"/>
              </w:rPr>
              <w:t>)</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коэффициент параметров деятельности</w:t>
            </w:r>
            <w:proofErr w:type="gramStart"/>
            <w:r w:rsidRPr="00EE5792">
              <w:rPr>
                <w:rFonts w:ascii="Times New Roman" w:hAnsi="Times New Roman" w:cs="Times New Roman"/>
              </w:rPr>
              <w:t xml:space="preserve"> (</w:t>
            </w:r>
            <w:r w:rsidRPr="00EE5792">
              <w:rPr>
                <w:rFonts w:ascii="Times New Roman" w:hAnsi="Times New Roman" w:cs="Times New Roman"/>
                <w:noProof/>
                <w:position w:val="-12"/>
                <w:lang w:eastAsia="ru-RU"/>
              </w:rPr>
              <w:drawing>
                <wp:inline distT="0" distB="0" distL="0" distR="0">
                  <wp:extent cx="323850" cy="276225"/>
                  <wp:effectExtent l="0" t="0" r="0" b="0"/>
                  <wp:docPr id="28" name="Рисунок 28" descr="base_24456_45834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4456_45834_14"/>
                          <pic:cNvPicPr preferRelativeResize="0">
                            <a:picLocks noChangeArrowheads="1"/>
                          </pic:cNvPicPr>
                        </pic:nvPicPr>
                        <pic:blipFill>
                          <a:blip r:embed="rId17" cstate="print"/>
                          <a:srcRect/>
                          <a:stretch>
                            <a:fillRect/>
                          </a:stretch>
                        </pic:blipFill>
                        <pic:spPr bwMode="auto">
                          <a:xfrm>
                            <a:off x="0" y="0"/>
                            <a:ext cx="323850" cy="276225"/>
                          </a:xfrm>
                          <a:prstGeom prst="rect">
                            <a:avLst/>
                          </a:prstGeom>
                          <a:noFill/>
                          <a:ln w="9525">
                            <a:noFill/>
                            <a:miter lim="800000"/>
                            <a:headEnd/>
                            <a:tailEnd/>
                          </a:ln>
                        </pic:spPr>
                      </pic:pic>
                    </a:graphicData>
                  </a:graphic>
                </wp:inline>
              </w:drawing>
            </w:r>
            <w:r w:rsidRPr="00EE5792">
              <w:rPr>
                <w:rFonts w:ascii="Times New Roman" w:hAnsi="Times New Roman" w:cs="Times New Roman"/>
              </w:rPr>
              <w:t>)</w:t>
            </w:r>
            <w:proofErr w:type="gramEnd"/>
          </w:p>
        </w:tc>
      </w:tr>
      <w:tr w:rsidR="00105753" w:rsidRPr="00EE5792" w:rsidTr="00DB720A">
        <w:tc>
          <w:tcPr>
            <w:tcW w:w="6016"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менее 150 кВт</w:t>
            </w:r>
          </w:p>
        </w:tc>
        <w:tc>
          <w:tcPr>
            <w:tcW w:w="411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18,20%</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0,77</w:t>
            </w:r>
          </w:p>
        </w:tc>
      </w:tr>
      <w:tr w:rsidR="00105753" w:rsidRPr="00EE5792" w:rsidTr="00DB720A">
        <w:tc>
          <w:tcPr>
            <w:tcW w:w="6016"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от 150 до 670 кВт</w:t>
            </w:r>
          </w:p>
        </w:tc>
        <w:tc>
          <w:tcPr>
            <w:tcW w:w="411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16,73%</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0,77</w:t>
            </w:r>
          </w:p>
        </w:tc>
      </w:tr>
      <w:tr w:rsidR="00105753" w:rsidRPr="00EE5792" w:rsidTr="00DB720A">
        <w:tc>
          <w:tcPr>
            <w:tcW w:w="6016"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от 670 кВт до 10 МВт</w:t>
            </w:r>
          </w:p>
        </w:tc>
        <w:tc>
          <w:tcPr>
            <w:tcW w:w="411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11,40%</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0,77</w:t>
            </w:r>
          </w:p>
        </w:tc>
      </w:tr>
      <w:tr w:rsidR="00105753" w:rsidRPr="00EE5792" w:rsidTr="00DB720A">
        <w:tc>
          <w:tcPr>
            <w:tcW w:w="6016" w:type="dxa"/>
            <w:vAlign w:val="center"/>
          </w:tcPr>
          <w:p w:rsidR="00105753" w:rsidRPr="00EE5792" w:rsidRDefault="00105753" w:rsidP="0017784C">
            <w:pPr>
              <w:pStyle w:val="ConsPlusNormal"/>
              <w:jc w:val="both"/>
              <w:rPr>
                <w:rFonts w:ascii="Times New Roman" w:hAnsi="Times New Roman" w:cs="Times New Roman"/>
              </w:rPr>
            </w:pPr>
            <w:r w:rsidRPr="00EE5792">
              <w:rPr>
                <w:rFonts w:ascii="Times New Roman" w:hAnsi="Times New Roman" w:cs="Times New Roman"/>
              </w:rPr>
              <w:t>Потребители с максимальной мощностью энергопринимающих устройств не менее 10 МВт</w:t>
            </w:r>
          </w:p>
        </w:tc>
        <w:tc>
          <w:tcPr>
            <w:tcW w:w="4111"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6,61%</w:t>
            </w:r>
          </w:p>
        </w:tc>
        <w:tc>
          <w:tcPr>
            <w:tcW w:w="4677" w:type="dxa"/>
            <w:vAlign w:val="center"/>
          </w:tcPr>
          <w:p w:rsidR="00105753" w:rsidRPr="00EE5792" w:rsidRDefault="00105753" w:rsidP="0017784C">
            <w:pPr>
              <w:pStyle w:val="ConsPlusNormal"/>
              <w:jc w:val="center"/>
              <w:rPr>
                <w:rFonts w:ascii="Times New Roman" w:hAnsi="Times New Roman" w:cs="Times New Roman"/>
              </w:rPr>
            </w:pPr>
            <w:r w:rsidRPr="00EE5792">
              <w:rPr>
                <w:rFonts w:ascii="Times New Roman" w:hAnsi="Times New Roman" w:cs="Times New Roman"/>
              </w:rPr>
              <w:t>0,77</w:t>
            </w:r>
          </w:p>
        </w:tc>
      </w:tr>
    </w:tbl>
    <w:p w:rsidR="00105753" w:rsidRPr="00993624" w:rsidRDefault="00105753" w:rsidP="00993624">
      <w:pPr>
        <w:widowControl w:val="0"/>
        <w:autoSpaceDE w:val="0"/>
        <w:autoSpaceDN w:val="0"/>
        <w:adjustRightInd w:val="0"/>
        <w:spacing w:line="360" w:lineRule="auto"/>
        <w:ind w:firstLine="540"/>
        <w:jc w:val="both"/>
        <w:rPr>
          <w:sz w:val="22"/>
          <w:szCs w:val="22"/>
        </w:rPr>
      </w:pPr>
      <w:r w:rsidRPr="00993624">
        <w:rPr>
          <w:sz w:val="22"/>
          <w:szCs w:val="22"/>
        </w:rPr>
        <w:t>Цена на электрическую энергию и (или) мощность</w:t>
      </w:r>
      <w:proofErr w:type="gramStart"/>
      <w:r w:rsidRPr="00993624">
        <w:rPr>
          <w:sz w:val="22"/>
          <w:szCs w:val="22"/>
        </w:rPr>
        <w:t xml:space="preserve"> (</w:t>
      </w:r>
      <w:r w:rsidRPr="00993624">
        <w:rPr>
          <w:noProof/>
          <w:sz w:val="22"/>
          <w:szCs w:val="22"/>
        </w:rPr>
        <w:drawing>
          <wp:inline distT="0" distB="0" distL="0" distR="0">
            <wp:extent cx="352425" cy="285750"/>
            <wp:effectExtent l="0" t="0" r="0" b="0"/>
            <wp:docPr id="29" name="Рисунок 29" descr="base_24456_45834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4456_45834_15"/>
                    <pic:cNvPicPr preferRelativeResize="0">
                      <a:picLocks noChangeArrowheads="1"/>
                    </pic:cNvPicPr>
                  </pic:nvPicPr>
                  <pic:blipFill>
                    <a:blip r:embed="rId13" cstate="print"/>
                    <a:srcRect/>
                    <a:stretch>
                      <a:fillRect/>
                    </a:stretch>
                  </pic:blipFill>
                  <pic:spPr bwMode="auto">
                    <a:xfrm>
                      <a:off x="0" y="0"/>
                      <a:ext cx="352425" cy="285750"/>
                    </a:xfrm>
                    <a:prstGeom prst="rect">
                      <a:avLst/>
                    </a:prstGeom>
                    <a:noFill/>
                    <a:ln w="9525">
                      <a:noFill/>
                      <a:miter lim="800000"/>
                      <a:headEnd/>
                      <a:tailEnd/>
                    </a:ln>
                  </pic:spPr>
                </pic:pic>
              </a:graphicData>
            </a:graphic>
          </wp:inline>
        </w:drawing>
      </w:r>
      <w:r w:rsidRPr="00993624">
        <w:rPr>
          <w:sz w:val="22"/>
          <w:szCs w:val="22"/>
        </w:rPr>
        <w:t xml:space="preserve">) </w:t>
      </w:r>
      <w:proofErr w:type="gramEnd"/>
      <w:r w:rsidRPr="00993624">
        <w:rPr>
          <w:sz w:val="22"/>
          <w:szCs w:val="22"/>
        </w:rPr>
        <w:t xml:space="preserve">определяется в соответствии с </w:t>
      </w:r>
      <w:hyperlink r:id="rId18" w:history="1">
        <w:r w:rsidRPr="00993624">
          <w:rPr>
            <w:sz w:val="22"/>
            <w:szCs w:val="22"/>
          </w:rPr>
          <w:t>Правилами</w:t>
        </w:r>
      </w:hyperlink>
      <w:r w:rsidRPr="00993624">
        <w:rPr>
          <w:sz w:val="22"/>
          <w:szCs w:val="22"/>
        </w:rPr>
        <w:t xml:space="preserve">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Российской Федерации от 29 декабря 2011 года N 1179, исходя из ценовой категории, применяемой для расчетов с потребителем.</w:t>
      </w:r>
    </w:p>
    <w:p w:rsidR="00223A2B" w:rsidRPr="00C33720" w:rsidRDefault="00223A2B" w:rsidP="00993624">
      <w:pPr>
        <w:autoSpaceDE w:val="0"/>
        <w:autoSpaceDN w:val="0"/>
        <w:adjustRightInd w:val="0"/>
        <w:jc w:val="center"/>
        <w:rPr>
          <w:b/>
        </w:rPr>
      </w:pPr>
    </w:p>
    <w:p w:rsidR="00E06A9A" w:rsidRPr="00EE5792" w:rsidRDefault="00E06A9A" w:rsidP="00993624">
      <w:pPr>
        <w:autoSpaceDE w:val="0"/>
        <w:autoSpaceDN w:val="0"/>
        <w:adjustRightInd w:val="0"/>
        <w:jc w:val="center"/>
        <w:rPr>
          <w:b/>
        </w:rPr>
      </w:pPr>
      <w:r w:rsidRPr="00EE5792">
        <w:rPr>
          <w:b/>
        </w:rPr>
        <w:t>Инфраструктурные услуги</w:t>
      </w:r>
    </w:p>
    <w:p w:rsidR="00E06A9A" w:rsidRPr="00EE5792"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 xml:space="preserve">1. Тариф на услуги коммерческого оператора составляет: </w:t>
      </w:r>
    </w:p>
    <w:p w:rsidR="00E06A9A" w:rsidRPr="00EE5792"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на 1-ое полугодие 2016 года – 1,103 руб./МВт</w:t>
      </w:r>
      <w:proofErr w:type="gramStart"/>
      <w:r w:rsidRPr="00993624">
        <w:rPr>
          <w:sz w:val="22"/>
          <w:szCs w:val="22"/>
        </w:rPr>
        <w:t>.</w:t>
      </w:r>
      <w:r w:rsidRPr="00EE5792">
        <w:rPr>
          <w:sz w:val="22"/>
          <w:szCs w:val="22"/>
        </w:rPr>
        <w:t>ч</w:t>
      </w:r>
      <w:proofErr w:type="gramEnd"/>
      <w:r w:rsidRPr="00EE5792">
        <w:rPr>
          <w:sz w:val="22"/>
          <w:szCs w:val="22"/>
        </w:rPr>
        <w:t>.;</w:t>
      </w:r>
    </w:p>
    <w:p w:rsidR="00E06A9A" w:rsidRPr="00EE5792"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на 2-ое полугодие 2016 года – 1,110 руб./МВт</w:t>
      </w:r>
      <w:proofErr w:type="gramStart"/>
      <w:r w:rsidRPr="00993624">
        <w:rPr>
          <w:sz w:val="22"/>
          <w:szCs w:val="22"/>
        </w:rPr>
        <w:t>.</w:t>
      </w:r>
      <w:r w:rsidRPr="00EE5792">
        <w:rPr>
          <w:sz w:val="22"/>
          <w:szCs w:val="22"/>
        </w:rPr>
        <w:t>ч</w:t>
      </w:r>
      <w:proofErr w:type="gramEnd"/>
      <w:r w:rsidRPr="00EE5792">
        <w:rPr>
          <w:sz w:val="22"/>
          <w:szCs w:val="22"/>
        </w:rPr>
        <w:t>.</w:t>
      </w:r>
    </w:p>
    <w:p w:rsidR="00E06A9A" w:rsidRPr="00EE5792"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Утвержден Приказом ФАС  №1349/15 от 28.12.2015г. «Об утверждении тарифа на услуги коммерческого оператора, оказываемые ОАО «АТС» на 2016 год».</w:t>
      </w:r>
    </w:p>
    <w:p w:rsidR="00E06A9A" w:rsidRPr="00EE5792"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 xml:space="preserve">2. Тариф на услуги по оперативно-диспетчерскому управлению в электроэнергетике составляет: </w:t>
      </w:r>
    </w:p>
    <w:p w:rsidR="00E06A9A" w:rsidRPr="00EE5792"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на 1-ое полугодие 2016 года – 1,639 руб./МВт</w:t>
      </w:r>
      <w:proofErr w:type="gramStart"/>
      <w:r w:rsidRPr="00993624">
        <w:rPr>
          <w:sz w:val="22"/>
          <w:szCs w:val="22"/>
        </w:rPr>
        <w:t>.</w:t>
      </w:r>
      <w:r w:rsidRPr="00EE5792">
        <w:rPr>
          <w:sz w:val="22"/>
          <w:szCs w:val="22"/>
        </w:rPr>
        <w:t>ч</w:t>
      </w:r>
      <w:proofErr w:type="gramEnd"/>
      <w:r w:rsidRPr="00EE5792">
        <w:rPr>
          <w:sz w:val="22"/>
          <w:szCs w:val="22"/>
        </w:rPr>
        <w:t>.;</w:t>
      </w:r>
    </w:p>
    <w:p w:rsidR="00E06A9A" w:rsidRPr="00EE5792"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на 2-ое полугодие 2016 года – 1,639 руб./МВт</w:t>
      </w:r>
      <w:proofErr w:type="gramStart"/>
      <w:r w:rsidRPr="00993624">
        <w:rPr>
          <w:sz w:val="22"/>
          <w:szCs w:val="22"/>
        </w:rPr>
        <w:t>.</w:t>
      </w:r>
      <w:r w:rsidRPr="00EE5792">
        <w:rPr>
          <w:sz w:val="22"/>
          <w:szCs w:val="22"/>
        </w:rPr>
        <w:t>ч</w:t>
      </w:r>
      <w:proofErr w:type="gramEnd"/>
      <w:r w:rsidRPr="00EE5792">
        <w:rPr>
          <w:sz w:val="22"/>
          <w:szCs w:val="22"/>
        </w:rPr>
        <w:t>.</w:t>
      </w:r>
    </w:p>
    <w:p w:rsidR="00E06A9A" w:rsidRPr="00EE5792" w:rsidRDefault="00E06A9A" w:rsidP="00993624">
      <w:pPr>
        <w:widowControl w:val="0"/>
        <w:autoSpaceDE w:val="0"/>
        <w:autoSpaceDN w:val="0"/>
        <w:adjustRightInd w:val="0"/>
        <w:spacing w:line="360" w:lineRule="auto"/>
        <w:ind w:firstLine="540"/>
        <w:jc w:val="both"/>
        <w:rPr>
          <w:sz w:val="22"/>
          <w:szCs w:val="22"/>
        </w:rPr>
      </w:pPr>
      <w:proofErr w:type="gramStart"/>
      <w:r w:rsidRPr="00EE5792">
        <w:rPr>
          <w:sz w:val="22"/>
          <w:szCs w:val="22"/>
        </w:rPr>
        <w:t xml:space="preserve">Утвержден Приказом ФАС №1348/15 от 25.12.2015г. «Об утверждении тарифов на услуги по оперативно-диспетчерскому управлению в </w:t>
      </w:r>
      <w:r w:rsidRPr="00EE5792">
        <w:rPr>
          <w:sz w:val="22"/>
          <w:szCs w:val="22"/>
        </w:rPr>
        <w:lastRenderedPageBreak/>
        <w:t>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части организации отбора исполнителей и оплаты</w:t>
      </w:r>
      <w:proofErr w:type="gramEnd"/>
      <w:r w:rsidRPr="00EE5792">
        <w:rPr>
          <w:sz w:val="22"/>
          <w:szCs w:val="22"/>
        </w:rPr>
        <w:t xml:space="preserve">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оказываемые ОАО «Системный оператор Единой энергетической системы». </w:t>
      </w:r>
    </w:p>
    <w:p w:rsidR="00E06A9A" w:rsidRPr="00993624" w:rsidRDefault="00E06A9A" w:rsidP="00993624">
      <w:pPr>
        <w:widowControl w:val="0"/>
        <w:autoSpaceDE w:val="0"/>
        <w:autoSpaceDN w:val="0"/>
        <w:adjustRightInd w:val="0"/>
        <w:spacing w:line="360" w:lineRule="auto"/>
        <w:ind w:firstLine="540"/>
        <w:jc w:val="both"/>
        <w:rPr>
          <w:sz w:val="22"/>
          <w:szCs w:val="22"/>
        </w:rPr>
      </w:pPr>
      <w:r w:rsidRPr="00993624">
        <w:rPr>
          <w:sz w:val="22"/>
          <w:szCs w:val="22"/>
        </w:rPr>
        <w:t xml:space="preserve">3. С 1 января 2016 года по 30 июня 2016 года действует размер платы за комплексную услугу АО «ЦФР», равный 0,310 </w:t>
      </w:r>
      <w:r w:rsidRPr="00EE5792">
        <w:rPr>
          <w:sz w:val="22"/>
          <w:szCs w:val="22"/>
        </w:rPr>
        <w:t>руб./МВт</w:t>
      </w:r>
      <w:proofErr w:type="gramStart"/>
      <w:r w:rsidRPr="00993624">
        <w:rPr>
          <w:sz w:val="22"/>
          <w:szCs w:val="22"/>
        </w:rPr>
        <w:t>.</w:t>
      </w:r>
      <w:r w:rsidRPr="00EE5792">
        <w:rPr>
          <w:sz w:val="22"/>
          <w:szCs w:val="22"/>
        </w:rPr>
        <w:t>ч</w:t>
      </w:r>
      <w:proofErr w:type="gramEnd"/>
      <w:r w:rsidRPr="00993624">
        <w:rPr>
          <w:sz w:val="22"/>
          <w:szCs w:val="22"/>
        </w:rPr>
        <w:t>.</w:t>
      </w:r>
    </w:p>
    <w:p w:rsidR="00E06A9A" w:rsidRPr="00993624" w:rsidRDefault="00E06A9A" w:rsidP="00993624">
      <w:pPr>
        <w:widowControl w:val="0"/>
        <w:autoSpaceDE w:val="0"/>
        <w:autoSpaceDN w:val="0"/>
        <w:adjustRightInd w:val="0"/>
        <w:spacing w:line="360" w:lineRule="auto"/>
        <w:ind w:firstLine="540"/>
        <w:jc w:val="both"/>
        <w:rPr>
          <w:sz w:val="22"/>
          <w:szCs w:val="22"/>
        </w:rPr>
      </w:pPr>
      <w:r w:rsidRPr="00993624">
        <w:rPr>
          <w:sz w:val="22"/>
          <w:szCs w:val="22"/>
        </w:rPr>
        <w:t xml:space="preserve">Утвержден Наблюдательным советом Ассоциации «НП Совет рынка» 19 марта 2015 года. </w:t>
      </w:r>
    </w:p>
    <w:p w:rsidR="00E06A9A" w:rsidRPr="00993624" w:rsidRDefault="00E06A9A" w:rsidP="00993624">
      <w:pPr>
        <w:widowControl w:val="0"/>
        <w:autoSpaceDE w:val="0"/>
        <w:autoSpaceDN w:val="0"/>
        <w:adjustRightInd w:val="0"/>
        <w:spacing w:line="360" w:lineRule="auto"/>
        <w:ind w:firstLine="540"/>
        <w:jc w:val="both"/>
        <w:rPr>
          <w:sz w:val="22"/>
          <w:szCs w:val="22"/>
        </w:rPr>
      </w:pPr>
      <w:r w:rsidRPr="00EE5792">
        <w:rPr>
          <w:sz w:val="22"/>
          <w:szCs w:val="22"/>
        </w:rPr>
        <w:t xml:space="preserve">С 1 июля 2016 года </w:t>
      </w:r>
      <w:r w:rsidRPr="00993624">
        <w:rPr>
          <w:sz w:val="22"/>
          <w:szCs w:val="22"/>
        </w:rPr>
        <w:t xml:space="preserve">размер платы за комплексную услугу АО «ЦФР», равный 0,318 </w:t>
      </w:r>
      <w:r w:rsidRPr="00EE5792">
        <w:rPr>
          <w:sz w:val="22"/>
          <w:szCs w:val="22"/>
        </w:rPr>
        <w:t>руб./МВт</w:t>
      </w:r>
      <w:proofErr w:type="gramStart"/>
      <w:r w:rsidRPr="00993624">
        <w:rPr>
          <w:sz w:val="22"/>
          <w:szCs w:val="22"/>
        </w:rPr>
        <w:t>.</w:t>
      </w:r>
      <w:r w:rsidRPr="00EE5792">
        <w:rPr>
          <w:sz w:val="22"/>
          <w:szCs w:val="22"/>
        </w:rPr>
        <w:t>ч</w:t>
      </w:r>
      <w:proofErr w:type="gramEnd"/>
      <w:r w:rsidRPr="00993624">
        <w:rPr>
          <w:sz w:val="22"/>
          <w:szCs w:val="22"/>
        </w:rPr>
        <w:t>.</w:t>
      </w:r>
    </w:p>
    <w:p w:rsidR="00E06A9A" w:rsidRPr="00993624" w:rsidRDefault="00E06A9A" w:rsidP="00993624">
      <w:pPr>
        <w:widowControl w:val="0"/>
        <w:autoSpaceDE w:val="0"/>
        <w:autoSpaceDN w:val="0"/>
        <w:adjustRightInd w:val="0"/>
        <w:spacing w:line="360" w:lineRule="auto"/>
        <w:ind w:firstLine="540"/>
        <w:jc w:val="both"/>
        <w:rPr>
          <w:sz w:val="22"/>
          <w:szCs w:val="22"/>
        </w:rPr>
      </w:pPr>
      <w:r w:rsidRPr="00993624">
        <w:rPr>
          <w:sz w:val="22"/>
          <w:szCs w:val="22"/>
        </w:rPr>
        <w:t xml:space="preserve">Утвержден Наблюдательным советом Ассоциации «НП Совет рынка»  23 марта 2016 года. </w:t>
      </w:r>
    </w:p>
    <w:p w:rsidR="00223A2B" w:rsidRPr="00C33720" w:rsidRDefault="00223A2B" w:rsidP="00902A18">
      <w:pPr>
        <w:autoSpaceDE w:val="0"/>
        <w:autoSpaceDN w:val="0"/>
        <w:adjustRightInd w:val="0"/>
        <w:jc w:val="center"/>
        <w:rPr>
          <w:b/>
        </w:rPr>
      </w:pPr>
    </w:p>
    <w:p w:rsidR="003C239F" w:rsidRPr="00902A18" w:rsidRDefault="003C239F" w:rsidP="00902A18">
      <w:pPr>
        <w:autoSpaceDE w:val="0"/>
        <w:autoSpaceDN w:val="0"/>
        <w:adjustRightInd w:val="0"/>
        <w:jc w:val="center"/>
        <w:rPr>
          <w:b/>
        </w:rPr>
      </w:pPr>
      <w:r w:rsidRPr="00EE5792">
        <w:rPr>
          <w:b/>
        </w:rPr>
        <w:t>Основные условия договора купли-продажи электрической энергии</w:t>
      </w:r>
    </w:p>
    <w:p w:rsidR="00902A18" w:rsidRPr="00902A18" w:rsidRDefault="00902A18" w:rsidP="00902A18">
      <w:pPr>
        <w:autoSpaceDE w:val="0"/>
        <w:autoSpaceDN w:val="0"/>
        <w:adjustRightInd w:val="0"/>
        <w:jc w:val="center"/>
        <w:rPr>
          <w:b/>
        </w:rPr>
      </w:pPr>
    </w:p>
    <w:tbl>
      <w:tblPr>
        <w:tblStyle w:val="a4"/>
        <w:tblW w:w="15593" w:type="dxa"/>
        <w:tblInd w:w="-601" w:type="dxa"/>
        <w:tblLook w:val="04A0"/>
      </w:tblPr>
      <w:tblGrid>
        <w:gridCol w:w="709"/>
        <w:gridCol w:w="426"/>
        <w:gridCol w:w="2551"/>
        <w:gridCol w:w="11907"/>
      </w:tblGrid>
      <w:tr w:rsidR="00FF2578" w:rsidRPr="00EE5792" w:rsidTr="00902A18">
        <w:tc>
          <w:tcPr>
            <w:tcW w:w="709" w:type="dxa"/>
            <w:vMerge w:val="restart"/>
            <w:textDirection w:val="btLr"/>
          </w:tcPr>
          <w:p w:rsidR="00FF2578" w:rsidRPr="00EE5792" w:rsidRDefault="00FF2578" w:rsidP="005E7628">
            <w:pPr>
              <w:jc w:val="both"/>
              <w:rPr>
                <w:b/>
                <w:sz w:val="22"/>
                <w:szCs w:val="22"/>
              </w:rPr>
            </w:pPr>
            <w:r w:rsidRPr="00EE5792">
              <w:rPr>
                <w:b/>
                <w:sz w:val="22"/>
                <w:szCs w:val="22"/>
              </w:rPr>
              <w:t>Основные условия договора купли-продажи электрической энергии</w:t>
            </w:r>
          </w:p>
        </w:tc>
        <w:tc>
          <w:tcPr>
            <w:tcW w:w="426" w:type="dxa"/>
          </w:tcPr>
          <w:p w:rsidR="00FF2578" w:rsidRPr="00EE5792" w:rsidRDefault="00FF2578" w:rsidP="005E7628">
            <w:pPr>
              <w:jc w:val="both"/>
              <w:rPr>
                <w:sz w:val="22"/>
                <w:szCs w:val="22"/>
              </w:rPr>
            </w:pPr>
            <w:r w:rsidRPr="00EE5792">
              <w:rPr>
                <w:sz w:val="22"/>
                <w:szCs w:val="22"/>
              </w:rPr>
              <w:t>1</w:t>
            </w:r>
          </w:p>
        </w:tc>
        <w:tc>
          <w:tcPr>
            <w:tcW w:w="2551" w:type="dxa"/>
          </w:tcPr>
          <w:p w:rsidR="00FF2578" w:rsidRPr="00EE5792" w:rsidRDefault="00FF2578" w:rsidP="005E7628">
            <w:pPr>
              <w:jc w:val="both"/>
              <w:rPr>
                <w:sz w:val="22"/>
                <w:szCs w:val="22"/>
              </w:rPr>
            </w:pPr>
            <w:r w:rsidRPr="00EE5792">
              <w:rPr>
                <w:sz w:val="22"/>
                <w:szCs w:val="22"/>
              </w:rPr>
              <w:t>Срок действия договора</w:t>
            </w:r>
          </w:p>
        </w:tc>
        <w:tc>
          <w:tcPr>
            <w:tcW w:w="11907" w:type="dxa"/>
          </w:tcPr>
          <w:p w:rsidR="00FF2578" w:rsidRPr="00EE5792" w:rsidRDefault="00FF2578" w:rsidP="005E7628">
            <w:pPr>
              <w:ind w:firstLine="213"/>
              <w:jc w:val="both"/>
              <w:rPr>
                <w:sz w:val="22"/>
                <w:szCs w:val="22"/>
              </w:rPr>
            </w:pPr>
            <w:r w:rsidRPr="00EE5792">
              <w:rPr>
                <w:sz w:val="22"/>
                <w:szCs w:val="22"/>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FF2578" w:rsidRPr="00EE5792" w:rsidRDefault="00FF2578" w:rsidP="005E7628">
            <w:pPr>
              <w:autoSpaceDE w:val="0"/>
              <w:autoSpaceDN w:val="0"/>
              <w:adjustRightInd w:val="0"/>
              <w:ind w:firstLine="213"/>
              <w:jc w:val="both"/>
              <w:rPr>
                <w:sz w:val="22"/>
                <w:szCs w:val="22"/>
              </w:rPr>
            </w:pPr>
            <w:r w:rsidRPr="00EE5792">
              <w:rPr>
                <w:sz w:val="22"/>
                <w:szCs w:val="22"/>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tc>
      </w:tr>
      <w:tr w:rsidR="00FF2578" w:rsidRPr="00EE5792" w:rsidTr="00902A18">
        <w:tc>
          <w:tcPr>
            <w:tcW w:w="709" w:type="dxa"/>
            <w:vMerge/>
          </w:tcPr>
          <w:p w:rsidR="00FF2578" w:rsidRPr="00EE5792" w:rsidRDefault="00FF2578" w:rsidP="005E7628">
            <w:pPr>
              <w:jc w:val="both"/>
              <w:rPr>
                <w:b/>
                <w:sz w:val="22"/>
                <w:szCs w:val="22"/>
              </w:rPr>
            </w:pPr>
          </w:p>
        </w:tc>
        <w:tc>
          <w:tcPr>
            <w:tcW w:w="426" w:type="dxa"/>
          </w:tcPr>
          <w:p w:rsidR="00FF2578" w:rsidRPr="00EE5792" w:rsidRDefault="00FF2578" w:rsidP="005E7628">
            <w:pPr>
              <w:jc w:val="both"/>
              <w:rPr>
                <w:sz w:val="22"/>
                <w:szCs w:val="22"/>
              </w:rPr>
            </w:pPr>
            <w:r w:rsidRPr="00EE5792">
              <w:rPr>
                <w:sz w:val="22"/>
                <w:szCs w:val="22"/>
              </w:rPr>
              <w:t>2</w:t>
            </w:r>
          </w:p>
        </w:tc>
        <w:tc>
          <w:tcPr>
            <w:tcW w:w="2551" w:type="dxa"/>
          </w:tcPr>
          <w:p w:rsidR="00FF2578" w:rsidRPr="00EE5792" w:rsidRDefault="00FF2578" w:rsidP="005E7628">
            <w:pPr>
              <w:jc w:val="both"/>
              <w:rPr>
                <w:sz w:val="22"/>
                <w:szCs w:val="22"/>
              </w:rPr>
            </w:pPr>
            <w:r w:rsidRPr="00EE5792">
              <w:rPr>
                <w:sz w:val="22"/>
                <w:szCs w:val="22"/>
              </w:rPr>
              <w:t>Вид цены на электрическую энергию (фиксированная или переменная)</w:t>
            </w:r>
          </w:p>
        </w:tc>
        <w:tc>
          <w:tcPr>
            <w:tcW w:w="11907" w:type="dxa"/>
          </w:tcPr>
          <w:p w:rsidR="00FF2578" w:rsidRPr="00EE5792" w:rsidRDefault="00FF2578" w:rsidP="005E7628">
            <w:pPr>
              <w:ind w:firstLine="213"/>
              <w:jc w:val="both"/>
              <w:rPr>
                <w:sz w:val="22"/>
                <w:szCs w:val="22"/>
              </w:rPr>
            </w:pPr>
            <w:proofErr w:type="gramStart"/>
            <w:r w:rsidRPr="00EE5792">
              <w:rPr>
                <w:sz w:val="22"/>
                <w:szCs w:val="22"/>
              </w:rPr>
              <w:t>Установление регулируемых тарифов (цен) на электрическую энергию (мощность), поставляемую населению и приравненным к нему категориям потребителей, осуществляется регулирующим органом - Государственным комитетом Республики Карелия по ценам и тарифам - в соответствии с целями и принципами государственного регулирования, предусмотренными Федеральным законом  от 26.03.2003 №35-ФЗ «Об электроэнергетике», постановлением Правительства РФ от 29.12.2011  № 1178 «О ценообразовании в области регулируемых цен (тарифов) в электроэнергетике».</w:t>
            </w:r>
            <w:proofErr w:type="gramEnd"/>
            <w:r w:rsidRPr="00EE5792">
              <w:rPr>
                <w:sz w:val="22"/>
                <w:szCs w:val="22"/>
              </w:rPr>
              <w:t xml:space="preserve"> </w:t>
            </w:r>
            <w:proofErr w:type="gramStart"/>
            <w:r w:rsidRPr="00EE5792">
              <w:rPr>
                <w:sz w:val="22"/>
                <w:szCs w:val="22"/>
              </w:rPr>
              <w:t>Определение предельных уровней нерегулируемых цен на электрическую энергию (мощность) для потребителей, за исключением населения и приравненных к нему категорий потребителей, осуществляется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№442, Правилами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РФ от 29.12.2011 № 1179, и Правилами оптового</w:t>
            </w:r>
            <w:proofErr w:type="gramEnd"/>
            <w:r w:rsidRPr="00EE5792">
              <w:rPr>
                <w:sz w:val="22"/>
                <w:szCs w:val="22"/>
              </w:rPr>
              <w:t xml:space="preserve"> рынка  электрической энергии и мощности, утвержденными постановлением Правительства РФ  от </w:t>
            </w:r>
            <w:r w:rsidRPr="00EE5792">
              <w:rPr>
                <w:sz w:val="22"/>
                <w:szCs w:val="22"/>
              </w:rPr>
              <w:lastRenderedPageBreak/>
              <w:t>27.12.2010 №1172.</w:t>
            </w:r>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 xml:space="preserve">На 2016 год регулируемый тариф (цена) на электрическую энергию, поставляемую населению и потребителям, приравненным к категории «население», установлен постановлением Государственного комитета Республики Карелия по ценам и тарифам от 23.12.2015 №300. </w:t>
            </w:r>
          </w:p>
          <w:p w:rsidR="00FF2578" w:rsidRPr="00EE5792" w:rsidRDefault="00FF2578" w:rsidP="005E7628">
            <w:pPr>
              <w:pStyle w:val="ConsPlusNormal"/>
              <w:ind w:firstLine="213"/>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FF2578" w:rsidRPr="00EE5792" w:rsidRDefault="00FF2578" w:rsidP="005E7628">
            <w:pPr>
              <w:pStyle w:val="ConsPlusNormal"/>
              <w:ind w:firstLine="213"/>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первая ценовая категория - для объемов покупки электрической энергии (мощности), учет которых осуществляется в целом за расчетный период;</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Предельный уровень нерегулируемых цен для первой ценовой </w:t>
            </w:r>
            <w:proofErr w:type="gramStart"/>
            <w:r w:rsidRPr="00EE5792">
              <w:rPr>
                <w:sz w:val="22"/>
                <w:szCs w:val="22"/>
              </w:rPr>
              <w:t>категории</w:t>
            </w:r>
            <w:proofErr w:type="gramEnd"/>
            <w:r w:rsidRPr="00EE5792">
              <w:rPr>
                <w:sz w:val="22"/>
                <w:szCs w:val="22"/>
              </w:rPr>
              <w:t xml:space="preserve"> гарантирующий поставщик рассчитывает в соответствии со следующей структурой нерегулируемой цены: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средневзвешенная нерегулируемая цена на электрическую энергию (мощность);</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сбытовая надбавка гарантирующего поставщика;</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Предельный уровень нерегулируемых цен для второй ценовой </w:t>
            </w:r>
            <w:proofErr w:type="gramStart"/>
            <w:r w:rsidRPr="00EE5792">
              <w:rPr>
                <w:sz w:val="22"/>
                <w:szCs w:val="22"/>
              </w:rPr>
              <w:t>категории</w:t>
            </w:r>
            <w:proofErr w:type="gramEnd"/>
            <w:r w:rsidRPr="00EE5792">
              <w:rPr>
                <w:sz w:val="22"/>
                <w:szCs w:val="22"/>
              </w:rPr>
              <w:t xml:space="preserve"> гарантирующий поставщик рассчитывает в соответствии со следующей структурой нерегулируемой цены: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lastRenderedPageBreak/>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сбытовая надбавка гарантирующего поставщика;</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Предельный уровень нерегулируемых цен для третьей ценовой </w:t>
            </w:r>
            <w:proofErr w:type="gramStart"/>
            <w:r w:rsidRPr="00EE5792">
              <w:rPr>
                <w:sz w:val="22"/>
                <w:szCs w:val="22"/>
              </w:rPr>
              <w:t>категории</w:t>
            </w:r>
            <w:proofErr w:type="gramEnd"/>
            <w:r w:rsidRPr="00EE5792">
              <w:rPr>
                <w:sz w:val="22"/>
                <w:szCs w:val="22"/>
              </w:rPr>
              <w:t xml:space="preserve"> гарантирующий поставщик рассчитывает в соответствии со следующей структурой нерегулируемой цены: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средневзвешенная нерегулируемая цена на мощность на оптовом рынке;</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сбытовая надбавка гарантирующего поставщика;</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Предельный уровень нерегулируемых цен для четвертой ценовой </w:t>
            </w:r>
            <w:proofErr w:type="gramStart"/>
            <w:r w:rsidRPr="00EE5792">
              <w:rPr>
                <w:sz w:val="22"/>
                <w:szCs w:val="22"/>
              </w:rPr>
              <w:t>категории</w:t>
            </w:r>
            <w:proofErr w:type="gramEnd"/>
            <w:r w:rsidRPr="00EE5792">
              <w:rPr>
                <w:sz w:val="22"/>
                <w:szCs w:val="22"/>
              </w:rPr>
              <w:t xml:space="preserve"> гарантирующий поставщик рассчитывает в соответствии со следующей структурой нерегулируемой цены: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средневзвешенная нерегулируемая цена на мощность на оптовом рынке;</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ставка </w:t>
            </w:r>
            <w:proofErr w:type="gramStart"/>
            <w:r w:rsidRPr="00EE5792">
              <w:rPr>
                <w:sz w:val="22"/>
                <w:szCs w:val="22"/>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EE5792">
              <w:rPr>
                <w:sz w:val="22"/>
                <w:szCs w:val="22"/>
              </w:rPr>
              <w:t xml:space="preserve"> электрической энергии;</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ставка, отражающая удельную величину расходов на содержание электрических сетей, тарифа на услуги по передаче электрической энергии;</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сбытовая надбавка гарантирующего поставщика;</w:t>
            </w:r>
          </w:p>
          <w:p w:rsidR="00FF2578" w:rsidRPr="00EE5792" w:rsidRDefault="00FF2578" w:rsidP="005E7628">
            <w:pPr>
              <w:autoSpaceDE w:val="0"/>
              <w:autoSpaceDN w:val="0"/>
              <w:adjustRightInd w:val="0"/>
              <w:ind w:firstLine="213"/>
              <w:jc w:val="both"/>
              <w:outlineLvl w:val="1"/>
              <w:rPr>
                <w:sz w:val="22"/>
                <w:szCs w:val="22"/>
              </w:rPr>
            </w:pPr>
            <w:r w:rsidRPr="00EE5792">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Предельный уровень нерегулируемых цен для пятой ценовой </w:t>
            </w:r>
            <w:proofErr w:type="gramStart"/>
            <w:r w:rsidRPr="00EE5792">
              <w:rPr>
                <w:sz w:val="22"/>
                <w:szCs w:val="22"/>
              </w:rPr>
              <w:t>категории</w:t>
            </w:r>
            <w:proofErr w:type="gramEnd"/>
            <w:r w:rsidRPr="00EE5792">
              <w:rPr>
                <w:sz w:val="22"/>
                <w:szCs w:val="22"/>
              </w:rPr>
              <w:t xml:space="preserve"> гарантирующий поставщик рассчитывает в соответствии со следующей структурой нерегулируемой цены: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средневзвешенная нерегулируемая цена на мощность на оптовом рынке;</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EE5792">
              <w:rPr>
                <w:sz w:val="22"/>
                <w:szCs w:val="22"/>
              </w:rPr>
              <w:t>над</w:t>
            </w:r>
            <w:proofErr w:type="gramEnd"/>
            <w:r w:rsidRPr="00EE5792">
              <w:rPr>
                <w:sz w:val="22"/>
                <w:szCs w:val="22"/>
              </w:rPr>
              <w:t xml:space="preserve"> плановым;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дифференцированная по часам расчетного периода нерегулируемая цена на электрическую энергию на оптовом рынке, </w:t>
            </w:r>
            <w:r w:rsidRPr="00EE5792">
              <w:rPr>
                <w:sz w:val="22"/>
                <w:szCs w:val="22"/>
              </w:rPr>
              <w:lastRenderedPageBreak/>
              <w:t xml:space="preserve">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w:t>
            </w:r>
            <w:proofErr w:type="gramStart"/>
            <w:r w:rsidRPr="00EE5792">
              <w:rPr>
                <w:sz w:val="22"/>
                <w:szCs w:val="22"/>
              </w:rPr>
              <w:t>над</w:t>
            </w:r>
            <w:proofErr w:type="gramEnd"/>
            <w:r w:rsidRPr="00EE5792">
              <w:rPr>
                <w:sz w:val="22"/>
                <w:szCs w:val="22"/>
              </w:rPr>
              <w:t xml:space="preserve"> фактическим;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сбытовая надбавка гарантирующего поставщика;</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Предельный уровень нерегулируемых цен для шестой ценовой </w:t>
            </w:r>
            <w:proofErr w:type="gramStart"/>
            <w:r w:rsidRPr="00EE5792">
              <w:rPr>
                <w:sz w:val="22"/>
                <w:szCs w:val="22"/>
              </w:rPr>
              <w:t>категории</w:t>
            </w:r>
            <w:proofErr w:type="gramEnd"/>
            <w:r w:rsidRPr="00EE5792">
              <w:rPr>
                <w:sz w:val="22"/>
                <w:szCs w:val="22"/>
              </w:rPr>
              <w:t xml:space="preserve"> гарантирующий поставщик рассчитывает в соответствии со следующей структурой нерегулируемой цены:</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средневзвешенная нерегулируемая цена на мощность на оптовом рынке;</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EE5792">
              <w:rPr>
                <w:sz w:val="22"/>
                <w:szCs w:val="22"/>
              </w:rPr>
              <w:t>над</w:t>
            </w:r>
            <w:proofErr w:type="gramEnd"/>
            <w:r w:rsidRPr="00EE5792">
              <w:rPr>
                <w:sz w:val="22"/>
                <w:szCs w:val="22"/>
              </w:rPr>
              <w:t xml:space="preserve"> плановым;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w:t>
            </w:r>
            <w:proofErr w:type="gramStart"/>
            <w:r w:rsidRPr="00EE5792">
              <w:rPr>
                <w:sz w:val="22"/>
                <w:szCs w:val="22"/>
              </w:rPr>
              <w:t>над</w:t>
            </w:r>
            <w:proofErr w:type="gramEnd"/>
            <w:r w:rsidRPr="00EE5792">
              <w:rPr>
                <w:sz w:val="22"/>
                <w:szCs w:val="22"/>
              </w:rPr>
              <w:t xml:space="preserve"> фактическим;</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 xml:space="preserve">ставка </w:t>
            </w:r>
            <w:proofErr w:type="gramStart"/>
            <w:r w:rsidRPr="00EE5792">
              <w:rPr>
                <w:sz w:val="22"/>
                <w:szCs w:val="22"/>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EE5792">
              <w:rPr>
                <w:sz w:val="22"/>
                <w:szCs w:val="22"/>
              </w:rPr>
              <w:t xml:space="preserve"> электрической энергии;</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ставка, отражающая удельную величину расходов на содержание электрических сетей, тарифа на услуги по передаче электрической энергии;</w:t>
            </w:r>
          </w:p>
          <w:p w:rsidR="00FF2578" w:rsidRPr="00EE5792" w:rsidRDefault="00FF2578" w:rsidP="005E7628">
            <w:pPr>
              <w:widowControl w:val="0"/>
              <w:autoSpaceDE w:val="0"/>
              <w:autoSpaceDN w:val="0"/>
              <w:adjustRightInd w:val="0"/>
              <w:ind w:firstLine="213"/>
              <w:jc w:val="both"/>
              <w:rPr>
                <w:sz w:val="22"/>
                <w:szCs w:val="22"/>
              </w:rPr>
            </w:pPr>
            <w:r w:rsidRPr="00EE5792">
              <w:rPr>
                <w:sz w:val="22"/>
                <w:szCs w:val="22"/>
              </w:rPr>
              <w:t>сбытовая надбавка гарантирующего поставщика;</w:t>
            </w:r>
          </w:p>
          <w:p w:rsidR="00FF2578" w:rsidRPr="00C33720" w:rsidRDefault="00FF2578" w:rsidP="005E7628">
            <w:pPr>
              <w:widowControl w:val="0"/>
              <w:autoSpaceDE w:val="0"/>
              <w:autoSpaceDN w:val="0"/>
              <w:adjustRightInd w:val="0"/>
              <w:ind w:firstLine="213"/>
              <w:jc w:val="both"/>
              <w:rPr>
                <w:sz w:val="22"/>
                <w:szCs w:val="22"/>
              </w:rPr>
            </w:pPr>
            <w:r w:rsidRPr="00EE5792">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223A2B" w:rsidRPr="00C33720" w:rsidRDefault="00223A2B" w:rsidP="005E7628">
            <w:pPr>
              <w:widowControl w:val="0"/>
              <w:autoSpaceDE w:val="0"/>
              <w:autoSpaceDN w:val="0"/>
              <w:adjustRightInd w:val="0"/>
              <w:ind w:firstLine="213"/>
              <w:jc w:val="both"/>
              <w:rPr>
                <w:sz w:val="22"/>
                <w:szCs w:val="22"/>
              </w:rPr>
            </w:pPr>
          </w:p>
        </w:tc>
      </w:tr>
      <w:tr w:rsidR="00FF2578" w:rsidRPr="00EE5792" w:rsidTr="00902A18">
        <w:tc>
          <w:tcPr>
            <w:tcW w:w="709" w:type="dxa"/>
            <w:vMerge/>
          </w:tcPr>
          <w:p w:rsidR="00FF2578" w:rsidRPr="00EE5792" w:rsidRDefault="00FF2578" w:rsidP="005E7628">
            <w:pPr>
              <w:jc w:val="both"/>
              <w:rPr>
                <w:b/>
                <w:sz w:val="22"/>
                <w:szCs w:val="22"/>
              </w:rPr>
            </w:pPr>
          </w:p>
        </w:tc>
        <w:tc>
          <w:tcPr>
            <w:tcW w:w="426" w:type="dxa"/>
          </w:tcPr>
          <w:p w:rsidR="00FF2578" w:rsidRPr="00EE5792" w:rsidRDefault="00FF2578" w:rsidP="005E7628">
            <w:pPr>
              <w:jc w:val="both"/>
              <w:rPr>
                <w:sz w:val="22"/>
                <w:szCs w:val="22"/>
              </w:rPr>
            </w:pPr>
            <w:r w:rsidRPr="00EE5792">
              <w:rPr>
                <w:sz w:val="22"/>
                <w:szCs w:val="22"/>
              </w:rPr>
              <w:t>3</w:t>
            </w:r>
          </w:p>
        </w:tc>
        <w:tc>
          <w:tcPr>
            <w:tcW w:w="2551" w:type="dxa"/>
          </w:tcPr>
          <w:p w:rsidR="00FF2578" w:rsidRPr="00EE5792" w:rsidRDefault="00FF2578" w:rsidP="005E7628">
            <w:pPr>
              <w:jc w:val="both"/>
              <w:rPr>
                <w:sz w:val="22"/>
                <w:szCs w:val="22"/>
              </w:rPr>
            </w:pPr>
            <w:r w:rsidRPr="00EE5792">
              <w:rPr>
                <w:sz w:val="22"/>
                <w:szCs w:val="22"/>
              </w:rPr>
              <w:t>Форма оплаты</w:t>
            </w:r>
          </w:p>
        </w:tc>
        <w:tc>
          <w:tcPr>
            <w:tcW w:w="11907" w:type="dxa"/>
          </w:tcPr>
          <w:p w:rsidR="00FF2578" w:rsidRPr="00EE5792" w:rsidRDefault="00FF2578" w:rsidP="005E7628">
            <w:pPr>
              <w:ind w:firstLine="708"/>
              <w:jc w:val="both"/>
              <w:rPr>
                <w:sz w:val="22"/>
                <w:szCs w:val="22"/>
              </w:rPr>
            </w:pPr>
            <w:r w:rsidRPr="00EE5792">
              <w:rPr>
                <w:sz w:val="22"/>
                <w:szCs w:val="22"/>
              </w:rPr>
              <w:t>Форма оплаты (юридические лица, предприниматели) – форма оплаты за потребленную электрическую энергию  (безналичная)  устанавливается соглашением сторон, платежным поручением Потребителя или на основании платежного  требования  с акцептом,  выставленного  гарантирующим поставщиком в банк плательщика;</w:t>
            </w:r>
          </w:p>
          <w:p w:rsidR="00FF2578" w:rsidRPr="00EE5792" w:rsidRDefault="00FF2578" w:rsidP="005E7628">
            <w:pPr>
              <w:ind w:firstLine="851"/>
              <w:jc w:val="both"/>
              <w:rPr>
                <w:sz w:val="22"/>
                <w:szCs w:val="22"/>
              </w:rPr>
            </w:pPr>
            <w:r w:rsidRPr="00EE5792">
              <w:rPr>
                <w:sz w:val="22"/>
                <w:szCs w:val="22"/>
              </w:rPr>
              <w:t>Форма оплаты населением  -   по  выставленным счетам, квитанциям.</w:t>
            </w:r>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 xml:space="preserve">Покупатели, приобретающие электрическую энергию для ее поставки населению, обязаны </w:t>
            </w:r>
            <w:proofErr w:type="gramStart"/>
            <w:r w:rsidRPr="00EE5792">
              <w:rPr>
                <w:rFonts w:ascii="Times New Roman" w:hAnsi="Times New Roman" w:cs="Times New Roman"/>
                <w:sz w:val="22"/>
                <w:szCs w:val="22"/>
                <w:lang w:eastAsia="ru-RU"/>
              </w:rPr>
              <w:t>оплачивать стоимость электрической</w:t>
            </w:r>
            <w:proofErr w:type="gramEnd"/>
            <w:r w:rsidRPr="00EE5792">
              <w:rPr>
                <w:rFonts w:ascii="Times New Roman" w:hAnsi="Times New Roman" w:cs="Times New Roman"/>
                <w:sz w:val="22"/>
                <w:szCs w:val="22"/>
                <w:lang w:eastAsia="ru-RU"/>
              </w:rPr>
              <w:t xml:space="preserve"> энергии (мощности) в объеме потребления населения за расчетный период до 15-го числа месяца, следующего за расчетным периодом.</w:t>
            </w:r>
          </w:p>
          <w:p w:rsidR="00FF2578" w:rsidRPr="00EE5792" w:rsidRDefault="00FF2578" w:rsidP="005E7628">
            <w:pPr>
              <w:pStyle w:val="ConsPlusNormal"/>
              <w:ind w:firstLine="540"/>
              <w:jc w:val="both"/>
              <w:rPr>
                <w:rFonts w:ascii="Times New Roman" w:hAnsi="Times New Roman" w:cs="Times New Roman"/>
                <w:sz w:val="22"/>
                <w:szCs w:val="22"/>
                <w:lang w:eastAsia="ru-RU"/>
              </w:rPr>
            </w:pPr>
            <w:proofErr w:type="gramStart"/>
            <w:r w:rsidRPr="00EE5792">
              <w:rPr>
                <w:rFonts w:ascii="Times New Roman" w:hAnsi="Times New Roman" w:cs="Times New Roman"/>
                <w:sz w:val="22"/>
                <w:szCs w:val="22"/>
                <w:lang w:eastAsia="ru-RU"/>
              </w:rPr>
              <w:t>Иные потребители (покупатели), за исключением указанных в абзацах 3,4,5 подраздела о форме оплаты,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roofErr w:type="gramEnd"/>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w:t>
            </w:r>
            <w:proofErr w:type="gramStart"/>
            <w:r w:rsidRPr="00EE5792">
              <w:rPr>
                <w:rFonts w:ascii="Times New Roman" w:hAnsi="Times New Roman" w:cs="Times New Roman"/>
                <w:sz w:val="22"/>
                <w:szCs w:val="22"/>
                <w:lang w:eastAsia="ru-RU"/>
              </w:rPr>
              <w:t>c</w:t>
            </w:r>
            <w:proofErr w:type="gramEnd"/>
            <w:r w:rsidRPr="00EE5792">
              <w:rPr>
                <w:rFonts w:ascii="Times New Roman" w:hAnsi="Times New Roman" w:cs="Times New Roman"/>
                <w:sz w:val="22"/>
                <w:szCs w:val="22"/>
                <w:lang w:eastAsia="ru-RU"/>
              </w:rPr>
              <w:t>читывается в счет платежа за месяц, следующий за месяцем, в котором была осуществлена такая оплата.</w:t>
            </w:r>
          </w:p>
          <w:p w:rsidR="00FF2578" w:rsidRPr="00EE5792" w:rsidRDefault="00FF2578" w:rsidP="005E7628">
            <w:pPr>
              <w:pStyle w:val="ConsPlusNormal"/>
              <w:ind w:firstLine="540"/>
              <w:jc w:val="both"/>
              <w:rPr>
                <w:rFonts w:ascii="Times New Roman" w:hAnsi="Times New Roman" w:cs="Times New Roman"/>
                <w:sz w:val="22"/>
                <w:szCs w:val="22"/>
                <w:lang w:eastAsia="ru-RU"/>
              </w:rPr>
            </w:pPr>
            <w:proofErr w:type="gramStart"/>
            <w:r w:rsidRPr="00EE5792">
              <w:rPr>
                <w:rFonts w:ascii="Times New Roman" w:hAnsi="Times New Roman" w:cs="Times New Roman"/>
                <w:sz w:val="22"/>
                <w:szCs w:val="22"/>
                <w:lang w:eastAsia="ru-RU"/>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roofErr w:type="gramEnd"/>
          </w:p>
          <w:p w:rsidR="00FF2578" w:rsidRPr="00EE5792" w:rsidRDefault="00FF2578" w:rsidP="005E7628">
            <w:pPr>
              <w:pStyle w:val="ConsPlusNormal"/>
              <w:ind w:firstLine="540"/>
              <w:jc w:val="both"/>
              <w:rPr>
                <w:rFonts w:ascii="Times New Roman" w:hAnsi="Times New Roman" w:cs="Times New Roman"/>
                <w:sz w:val="22"/>
                <w:szCs w:val="22"/>
                <w:lang w:eastAsia="ru-RU"/>
              </w:rPr>
            </w:pPr>
            <w:r w:rsidRPr="00EE5792">
              <w:rPr>
                <w:rFonts w:ascii="Times New Roman" w:hAnsi="Times New Roman" w:cs="Times New Roman"/>
                <w:sz w:val="22"/>
                <w:szCs w:val="22"/>
                <w:lang w:eastAsia="ru-RU"/>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tc>
      </w:tr>
      <w:tr w:rsidR="00FF2578" w:rsidRPr="00EE5792" w:rsidTr="00902A18">
        <w:tc>
          <w:tcPr>
            <w:tcW w:w="709" w:type="dxa"/>
            <w:vMerge/>
          </w:tcPr>
          <w:p w:rsidR="00FF2578" w:rsidRPr="00EE5792" w:rsidRDefault="00FF2578" w:rsidP="005E7628">
            <w:pPr>
              <w:jc w:val="both"/>
              <w:rPr>
                <w:b/>
                <w:sz w:val="22"/>
                <w:szCs w:val="22"/>
              </w:rPr>
            </w:pPr>
          </w:p>
        </w:tc>
        <w:tc>
          <w:tcPr>
            <w:tcW w:w="426" w:type="dxa"/>
          </w:tcPr>
          <w:p w:rsidR="00FF2578" w:rsidRPr="00EE5792" w:rsidRDefault="00FF2578" w:rsidP="005E7628">
            <w:pPr>
              <w:jc w:val="both"/>
              <w:rPr>
                <w:sz w:val="22"/>
                <w:szCs w:val="22"/>
              </w:rPr>
            </w:pPr>
            <w:r w:rsidRPr="00EE5792">
              <w:rPr>
                <w:sz w:val="22"/>
                <w:szCs w:val="22"/>
              </w:rPr>
              <w:t>4</w:t>
            </w:r>
          </w:p>
        </w:tc>
        <w:tc>
          <w:tcPr>
            <w:tcW w:w="2551" w:type="dxa"/>
          </w:tcPr>
          <w:p w:rsidR="00FF2578" w:rsidRPr="00EE5792" w:rsidRDefault="00FF2578" w:rsidP="00355165">
            <w:pPr>
              <w:rPr>
                <w:sz w:val="22"/>
                <w:szCs w:val="22"/>
              </w:rPr>
            </w:pPr>
            <w:r w:rsidRPr="00EE5792">
              <w:rPr>
                <w:sz w:val="22"/>
                <w:szCs w:val="22"/>
              </w:rPr>
              <w:t xml:space="preserve">Форма обеспечения исполнения </w:t>
            </w:r>
            <w:r w:rsidR="00355165" w:rsidRPr="00EE5792">
              <w:rPr>
                <w:sz w:val="22"/>
                <w:szCs w:val="22"/>
              </w:rPr>
              <w:t>обязатель</w:t>
            </w:r>
            <w:proofErr w:type="gramStart"/>
            <w:r w:rsidR="00355165" w:rsidRPr="00EE5792">
              <w:rPr>
                <w:sz w:val="22"/>
                <w:szCs w:val="22"/>
              </w:rPr>
              <w:t>ств</w:t>
            </w:r>
            <w:r w:rsidRPr="00EE5792">
              <w:rPr>
                <w:sz w:val="22"/>
                <w:szCs w:val="22"/>
              </w:rPr>
              <w:t xml:space="preserve"> ст</w:t>
            </w:r>
            <w:proofErr w:type="gramEnd"/>
            <w:r w:rsidRPr="00EE5792">
              <w:rPr>
                <w:sz w:val="22"/>
                <w:szCs w:val="22"/>
              </w:rPr>
              <w:t>орон по договору</w:t>
            </w:r>
          </w:p>
        </w:tc>
        <w:tc>
          <w:tcPr>
            <w:tcW w:w="11907" w:type="dxa"/>
          </w:tcPr>
          <w:p w:rsidR="00FF2578" w:rsidRPr="00EE5792" w:rsidRDefault="00FF2578" w:rsidP="005E7628">
            <w:pPr>
              <w:autoSpaceDE w:val="0"/>
              <w:autoSpaceDN w:val="0"/>
              <w:adjustRightInd w:val="0"/>
              <w:jc w:val="both"/>
              <w:rPr>
                <w:sz w:val="22"/>
                <w:szCs w:val="22"/>
              </w:rPr>
            </w:pPr>
            <w:r w:rsidRPr="00EE5792">
              <w:rPr>
                <w:sz w:val="22"/>
                <w:szCs w:val="22"/>
              </w:rPr>
              <w:t>законная неустойка</w:t>
            </w:r>
          </w:p>
        </w:tc>
      </w:tr>
      <w:tr w:rsidR="00FF2578" w:rsidRPr="00EE5792" w:rsidTr="00902A18">
        <w:tc>
          <w:tcPr>
            <w:tcW w:w="709" w:type="dxa"/>
            <w:vMerge/>
          </w:tcPr>
          <w:p w:rsidR="00FF2578" w:rsidRPr="00EE5792" w:rsidRDefault="00FF2578" w:rsidP="005E7628">
            <w:pPr>
              <w:jc w:val="both"/>
              <w:rPr>
                <w:b/>
                <w:sz w:val="22"/>
                <w:szCs w:val="22"/>
              </w:rPr>
            </w:pPr>
          </w:p>
        </w:tc>
        <w:tc>
          <w:tcPr>
            <w:tcW w:w="426" w:type="dxa"/>
          </w:tcPr>
          <w:p w:rsidR="00FF2578" w:rsidRPr="00EE5792" w:rsidRDefault="00FF2578" w:rsidP="005E7628">
            <w:pPr>
              <w:jc w:val="both"/>
              <w:rPr>
                <w:sz w:val="22"/>
                <w:szCs w:val="22"/>
              </w:rPr>
            </w:pPr>
            <w:r w:rsidRPr="00EE5792">
              <w:rPr>
                <w:sz w:val="22"/>
                <w:szCs w:val="22"/>
              </w:rPr>
              <w:t>5</w:t>
            </w:r>
          </w:p>
        </w:tc>
        <w:tc>
          <w:tcPr>
            <w:tcW w:w="2551" w:type="dxa"/>
          </w:tcPr>
          <w:p w:rsidR="00FF2578" w:rsidRPr="00EE5792" w:rsidRDefault="00FF2578" w:rsidP="005E7628">
            <w:pPr>
              <w:jc w:val="both"/>
              <w:rPr>
                <w:sz w:val="22"/>
                <w:szCs w:val="22"/>
              </w:rPr>
            </w:pPr>
            <w:r w:rsidRPr="00EE5792">
              <w:rPr>
                <w:sz w:val="22"/>
                <w:szCs w:val="22"/>
              </w:rPr>
              <w:t>Зона обслуживания</w:t>
            </w:r>
          </w:p>
        </w:tc>
        <w:tc>
          <w:tcPr>
            <w:tcW w:w="11907" w:type="dxa"/>
          </w:tcPr>
          <w:p w:rsidR="00FF2578" w:rsidRPr="00EE5792" w:rsidRDefault="00FF2578" w:rsidP="005E7628">
            <w:pPr>
              <w:jc w:val="both"/>
              <w:rPr>
                <w:sz w:val="22"/>
                <w:szCs w:val="22"/>
              </w:rPr>
            </w:pPr>
            <w:r w:rsidRPr="00EE5792">
              <w:rPr>
                <w:sz w:val="22"/>
                <w:szCs w:val="22"/>
              </w:rPr>
              <w:t>город Петрозаводск, поселок Кварцитный  Прионежского района</w:t>
            </w:r>
          </w:p>
        </w:tc>
      </w:tr>
      <w:tr w:rsidR="00FF2578" w:rsidRPr="00EE5792" w:rsidTr="00902A18">
        <w:tc>
          <w:tcPr>
            <w:tcW w:w="709" w:type="dxa"/>
            <w:vMerge/>
          </w:tcPr>
          <w:p w:rsidR="00FF2578" w:rsidRPr="00EE5792" w:rsidRDefault="00FF2578" w:rsidP="005E7628">
            <w:pPr>
              <w:jc w:val="both"/>
              <w:rPr>
                <w:b/>
                <w:sz w:val="22"/>
                <w:szCs w:val="22"/>
              </w:rPr>
            </w:pPr>
          </w:p>
        </w:tc>
        <w:tc>
          <w:tcPr>
            <w:tcW w:w="426" w:type="dxa"/>
          </w:tcPr>
          <w:p w:rsidR="00FF2578" w:rsidRPr="00EE5792" w:rsidRDefault="00FF2578" w:rsidP="005E7628">
            <w:pPr>
              <w:jc w:val="both"/>
              <w:rPr>
                <w:sz w:val="22"/>
                <w:szCs w:val="22"/>
              </w:rPr>
            </w:pPr>
            <w:r w:rsidRPr="00EE5792">
              <w:rPr>
                <w:sz w:val="22"/>
                <w:szCs w:val="22"/>
              </w:rPr>
              <w:t>6</w:t>
            </w:r>
          </w:p>
        </w:tc>
        <w:tc>
          <w:tcPr>
            <w:tcW w:w="2551" w:type="dxa"/>
          </w:tcPr>
          <w:p w:rsidR="00FF2578" w:rsidRPr="00EE5792" w:rsidRDefault="00FF2578" w:rsidP="005E7628">
            <w:pPr>
              <w:jc w:val="both"/>
              <w:rPr>
                <w:sz w:val="22"/>
                <w:szCs w:val="22"/>
              </w:rPr>
            </w:pPr>
            <w:r w:rsidRPr="00EE5792">
              <w:rPr>
                <w:sz w:val="22"/>
                <w:szCs w:val="22"/>
              </w:rPr>
              <w:t>Условия расторжения договора</w:t>
            </w:r>
          </w:p>
        </w:tc>
        <w:tc>
          <w:tcPr>
            <w:tcW w:w="11907" w:type="dxa"/>
          </w:tcPr>
          <w:p w:rsidR="00FF2578" w:rsidRPr="00EE5792" w:rsidRDefault="00FF2578" w:rsidP="005E7628">
            <w:pPr>
              <w:autoSpaceDE w:val="0"/>
              <w:autoSpaceDN w:val="0"/>
              <w:adjustRightInd w:val="0"/>
              <w:jc w:val="both"/>
              <w:rPr>
                <w:sz w:val="22"/>
                <w:szCs w:val="22"/>
              </w:rPr>
            </w:pPr>
            <w:r w:rsidRPr="00EE5792">
              <w:rPr>
                <w:sz w:val="22"/>
                <w:szCs w:val="22"/>
              </w:rPr>
              <w:t>обращение потребителя по основаниям и в порядке, установленном действующим законодательством Российской Федерации.</w:t>
            </w:r>
          </w:p>
        </w:tc>
      </w:tr>
      <w:tr w:rsidR="00FF2578" w:rsidRPr="00EE5792" w:rsidTr="00902A18">
        <w:tc>
          <w:tcPr>
            <w:tcW w:w="709" w:type="dxa"/>
            <w:vMerge/>
          </w:tcPr>
          <w:p w:rsidR="00FF2578" w:rsidRPr="00EE5792" w:rsidRDefault="00FF2578" w:rsidP="005E7628">
            <w:pPr>
              <w:jc w:val="both"/>
              <w:rPr>
                <w:b/>
                <w:sz w:val="22"/>
                <w:szCs w:val="22"/>
              </w:rPr>
            </w:pPr>
          </w:p>
        </w:tc>
        <w:tc>
          <w:tcPr>
            <w:tcW w:w="426" w:type="dxa"/>
          </w:tcPr>
          <w:p w:rsidR="00FF2578" w:rsidRPr="00EE5792" w:rsidRDefault="00FF2578" w:rsidP="005E7628">
            <w:pPr>
              <w:jc w:val="both"/>
              <w:rPr>
                <w:sz w:val="22"/>
                <w:szCs w:val="22"/>
              </w:rPr>
            </w:pPr>
            <w:r w:rsidRPr="00EE5792">
              <w:rPr>
                <w:sz w:val="22"/>
                <w:szCs w:val="22"/>
              </w:rPr>
              <w:t>7</w:t>
            </w:r>
          </w:p>
        </w:tc>
        <w:tc>
          <w:tcPr>
            <w:tcW w:w="2551" w:type="dxa"/>
          </w:tcPr>
          <w:p w:rsidR="00FF2578" w:rsidRPr="00EE5792" w:rsidRDefault="00FF2578" w:rsidP="005E7628">
            <w:pPr>
              <w:jc w:val="both"/>
              <w:rPr>
                <w:sz w:val="22"/>
                <w:szCs w:val="22"/>
              </w:rPr>
            </w:pPr>
            <w:r w:rsidRPr="00EE5792">
              <w:rPr>
                <w:sz w:val="22"/>
                <w:szCs w:val="22"/>
              </w:rPr>
              <w:t>Ответственность сторон</w:t>
            </w:r>
          </w:p>
        </w:tc>
        <w:tc>
          <w:tcPr>
            <w:tcW w:w="11907" w:type="dxa"/>
          </w:tcPr>
          <w:p w:rsidR="00FF2578" w:rsidRPr="00EE5792" w:rsidRDefault="00FF2578" w:rsidP="005E7628">
            <w:pPr>
              <w:jc w:val="both"/>
              <w:rPr>
                <w:sz w:val="22"/>
                <w:szCs w:val="22"/>
              </w:rPr>
            </w:pPr>
            <w:r w:rsidRPr="00EE5792">
              <w:rPr>
                <w:sz w:val="22"/>
                <w:szCs w:val="22"/>
              </w:rPr>
              <w:t>в соответствии со статьей 547 ГК РФ.</w:t>
            </w:r>
          </w:p>
        </w:tc>
      </w:tr>
      <w:tr w:rsidR="00FF2578" w:rsidRPr="00EE5792" w:rsidTr="00902A18">
        <w:tc>
          <w:tcPr>
            <w:tcW w:w="709" w:type="dxa"/>
            <w:vMerge/>
          </w:tcPr>
          <w:p w:rsidR="00FF2578" w:rsidRPr="00EE5792" w:rsidRDefault="00FF2578" w:rsidP="005E7628">
            <w:pPr>
              <w:jc w:val="both"/>
              <w:rPr>
                <w:b/>
                <w:sz w:val="22"/>
                <w:szCs w:val="22"/>
              </w:rPr>
            </w:pPr>
          </w:p>
        </w:tc>
        <w:tc>
          <w:tcPr>
            <w:tcW w:w="426" w:type="dxa"/>
          </w:tcPr>
          <w:p w:rsidR="00FF2578" w:rsidRPr="00EE5792" w:rsidRDefault="00FF2578" w:rsidP="005E7628">
            <w:pPr>
              <w:jc w:val="both"/>
              <w:rPr>
                <w:sz w:val="22"/>
                <w:szCs w:val="22"/>
              </w:rPr>
            </w:pPr>
            <w:r w:rsidRPr="00EE5792">
              <w:rPr>
                <w:sz w:val="22"/>
                <w:szCs w:val="22"/>
              </w:rPr>
              <w:t>8</w:t>
            </w:r>
          </w:p>
        </w:tc>
        <w:tc>
          <w:tcPr>
            <w:tcW w:w="2551" w:type="dxa"/>
          </w:tcPr>
          <w:p w:rsidR="000D3888" w:rsidRPr="00EE5792" w:rsidRDefault="000D3888" w:rsidP="005E7628">
            <w:pPr>
              <w:jc w:val="both"/>
              <w:rPr>
                <w:sz w:val="22"/>
                <w:szCs w:val="22"/>
              </w:rPr>
            </w:pPr>
            <w:r w:rsidRPr="00EE5792">
              <w:rPr>
                <w:sz w:val="22"/>
                <w:szCs w:val="22"/>
              </w:rPr>
              <w:t>Существенные условия договора энергоснабжения (купли-продажи) электрической энергии</w:t>
            </w:r>
          </w:p>
          <w:p w:rsidR="00FF2578" w:rsidRPr="00EE5792" w:rsidRDefault="00FF2578" w:rsidP="005E7628">
            <w:pPr>
              <w:jc w:val="both"/>
              <w:rPr>
                <w:sz w:val="22"/>
                <w:szCs w:val="22"/>
              </w:rPr>
            </w:pPr>
          </w:p>
        </w:tc>
        <w:tc>
          <w:tcPr>
            <w:tcW w:w="11907" w:type="dxa"/>
          </w:tcPr>
          <w:p w:rsidR="00FF2578" w:rsidRPr="00EE5792" w:rsidRDefault="00FF2578" w:rsidP="005E7628">
            <w:pPr>
              <w:autoSpaceDE w:val="0"/>
              <w:autoSpaceDN w:val="0"/>
              <w:adjustRightInd w:val="0"/>
              <w:jc w:val="both"/>
              <w:rPr>
                <w:sz w:val="22"/>
                <w:szCs w:val="22"/>
              </w:rPr>
            </w:pPr>
            <w:r w:rsidRPr="00EE5792">
              <w:rPr>
                <w:sz w:val="22"/>
                <w:szCs w:val="22"/>
              </w:rPr>
              <w:t>предмет договора;</w:t>
            </w:r>
          </w:p>
          <w:p w:rsidR="00FF2578" w:rsidRPr="00EE5792" w:rsidRDefault="00FF2578" w:rsidP="005E7628">
            <w:pPr>
              <w:autoSpaceDE w:val="0"/>
              <w:autoSpaceDN w:val="0"/>
              <w:adjustRightInd w:val="0"/>
              <w:jc w:val="both"/>
              <w:rPr>
                <w:sz w:val="22"/>
                <w:szCs w:val="22"/>
              </w:rPr>
            </w:pPr>
            <w:r w:rsidRPr="00EE5792">
              <w:rPr>
                <w:sz w:val="22"/>
                <w:szCs w:val="22"/>
              </w:rPr>
              <w:t>дата и время начала исполнения обязательств по договору;</w:t>
            </w:r>
          </w:p>
          <w:p w:rsidR="00FF2578" w:rsidRPr="00EE5792" w:rsidRDefault="00FF2578" w:rsidP="005E7628">
            <w:pPr>
              <w:autoSpaceDE w:val="0"/>
              <w:autoSpaceDN w:val="0"/>
              <w:adjustRightInd w:val="0"/>
              <w:jc w:val="both"/>
              <w:rPr>
                <w:sz w:val="22"/>
                <w:szCs w:val="22"/>
              </w:rPr>
            </w:pPr>
            <w:proofErr w:type="gramStart"/>
            <w:r w:rsidRPr="00EE5792">
              <w:rPr>
                <w:sz w:val="22"/>
                <w:szCs w:val="22"/>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19" w:history="1">
              <w:r w:rsidRPr="00EE5792">
                <w:rPr>
                  <w:sz w:val="22"/>
                  <w:szCs w:val="22"/>
                </w:rPr>
                <w:t>Правилами</w:t>
              </w:r>
            </w:hyperlink>
            <w:r w:rsidRPr="00EE5792">
              <w:rPr>
                <w:sz w:val="22"/>
                <w:szCs w:val="22"/>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w:t>
            </w:r>
            <w:proofErr w:type="gramEnd"/>
            <w:r w:rsidRPr="00EE5792">
              <w:rPr>
                <w:sz w:val="22"/>
                <w:szCs w:val="22"/>
              </w:rPr>
              <w:t xml:space="preserve"> </w:t>
            </w:r>
            <w:proofErr w:type="gramStart"/>
            <w:r w:rsidRPr="00EE5792">
              <w:rPr>
                <w:sz w:val="22"/>
                <w:szCs w:val="22"/>
              </w:rPr>
              <w:t>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roofErr w:type="gramEnd"/>
          </w:p>
          <w:p w:rsidR="00FF2578" w:rsidRPr="00EE5792" w:rsidRDefault="00FF2578" w:rsidP="005E7628">
            <w:pPr>
              <w:autoSpaceDE w:val="0"/>
              <w:autoSpaceDN w:val="0"/>
              <w:adjustRightInd w:val="0"/>
              <w:ind w:firstLine="540"/>
              <w:jc w:val="both"/>
              <w:rPr>
                <w:sz w:val="22"/>
                <w:szCs w:val="22"/>
              </w:rPr>
            </w:pPr>
            <w:r w:rsidRPr="00EE5792">
              <w:rPr>
                <w:sz w:val="22"/>
                <w:szCs w:val="22"/>
              </w:rPr>
              <w:t>точка (точки) поставки по договору;</w:t>
            </w:r>
          </w:p>
          <w:p w:rsidR="00FF2578" w:rsidRPr="00EE5792" w:rsidRDefault="00FF2578" w:rsidP="005E7628">
            <w:pPr>
              <w:autoSpaceDE w:val="0"/>
              <w:autoSpaceDN w:val="0"/>
              <w:adjustRightInd w:val="0"/>
              <w:ind w:firstLine="540"/>
              <w:jc w:val="both"/>
              <w:rPr>
                <w:sz w:val="22"/>
                <w:szCs w:val="22"/>
              </w:rPr>
            </w:pPr>
            <w:r w:rsidRPr="00EE5792">
              <w:rPr>
                <w:sz w:val="22"/>
                <w:szCs w:val="22"/>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FF2578" w:rsidRPr="00EE5792" w:rsidRDefault="00FF2578" w:rsidP="005E7628">
            <w:pPr>
              <w:autoSpaceDE w:val="0"/>
              <w:autoSpaceDN w:val="0"/>
              <w:adjustRightInd w:val="0"/>
              <w:ind w:firstLine="540"/>
              <w:jc w:val="both"/>
              <w:rPr>
                <w:sz w:val="22"/>
                <w:szCs w:val="22"/>
              </w:rPr>
            </w:pPr>
            <w:r w:rsidRPr="00EE5792">
              <w:rPr>
                <w:sz w:val="22"/>
                <w:szCs w:val="22"/>
              </w:rPr>
              <w:t>порядок определения объема покупки электрической энергии (мощности) по договору за расчетный период;</w:t>
            </w:r>
          </w:p>
          <w:p w:rsidR="00FF2578" w:rsidRPr="00EE5792" w:rsidRDefault="00FF2578" w:rsidP="005E7628">
            <w:pPr>
              <w:autoSpaceDE w:val="0"/>
              <w:autoSpaceDN w:val="0"/>
              <w:adjustRightInd w:val="0"/>
              <w:ind w:firstLine="540"/>
              <w:jc w:val="both"/>
              <w:rPr>
                <w:sz w:val="22"/>
                <w:szCs w:val="22"/>
              </w:rPr>
            </w:pPr>
            <w:r w:rsidRPr="00EE5792">
              <w:rPr>
                <w:sz w:val="22"/>
                <w:szCs w:val="22"/>
              </w:rPr>
              <w:t>порядок определения стоимости поставленной по договору за расчетный период электрической энергии (мощности);</w:t>
            </w:r>
          </w:p>
          <w:p w:rsidR="00FF2578" w:rsidRPr="00EE5792" w:rsidRDefault="00FF2578" w:rsidP="005E7628">
            <w:pPr>
              <w:autoSpaceDE w:val="0"/>
              <w:autoSpaceDN w:val="0"/>
              <w:adjustRightInd w:val="0"/>
              <w:jc w:val="both"/>
              <w:rPr>
                <w:sz w:val="22"/>
                <w:szCs w:val="22"/>
              </w:rPr>
            </w:pPr>
            <w:r w:rsidRPr="00EE5792">
              <w:rPr>
                <w:sz w:val="22"/>
                <w:szCs w:val="22"/>
              </w:rPr>
              <w:t>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w:t>
            </w:r>
          </w:p>
          <w:p w:rsidR="00FF2578" w:rsidRPr="00EE5792" w:rsidRDefault="00FF2578" w:rsidP="005E7628">
            <w:pPr>
              <w:autoSpaceDE w:val="0"/>
              <w:autoSpaceDN w:val="0"/>
              <w:adjustRightInd w:val="0"/>
              <w:ind w:firstLine="540"/>
              <w:jc w:val="both"/>
              <w:rPr>
                <w:sz w:val="22"/>
                <w:szCs w:val="22"/>
              </w:rPr>
            </w:pPr>
            <w:r w:rsidRPr="00EE5792">
              <w:rPr>
                <w:sz w:val="22"/>
                <w:szCs w:val="22"/>
              </w:rPr>
              <w:t>ответственность гарантирующего поставщика</w:t>
            </w:r>
            <w:r w:rsidR="00B91645" w:rsidRPr="00EE5792">
              <w:rPr>
                <w:sz w:val="22"/>
                <w:szCs w:val="22"/>
              </w:rPr>
              <w:t xml:space="preserve"> </w:t>
            </w:r>
            <w:r w:rsidRPr="00EE5792">
              <w:rPr>
                <w:sz w:val="22"/>
                <w:szCs w:val="22"/>
              </w:rPr>
              <w:t>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FF2578" w:rsidRPr="00EE5792" w:rsidRDefault="00FF2578" w:rsidP="005E7628">
            <w:pPr>
              <w:autoSpaceDE w:val="0"/>
              <w:autoSpaceDN w:val="0"/>
              <w:adjustRightInd w:val="0"/>
              <w:ind w:firstLine="540"/>
              <w:jc w:val="both"/>
              <w:rPr>
                <w:sz w:val="22"/>
                <w:szCs w:val="22"/>
              </w:rPr>
            </w:pPr>
            <w:r w:rsidRPr="00EE5792">
              <w:rPr>
                <w:sz w:val="22"/>
                <w:szCs w:val="22"/>
              </w:rPr>
              <w:t>следующие права потребителя (покупателя) по договору:</w:t>
            </w:r>
          </w:p>
          <w:p w:rsidR="00FF2578" w:rsidRPr="00EE5792" w:rsidRDefault="00FF2578" w:rsidP="005E7628">
            <w:pPr>
              <w:autoSpaceDE w:val="0"/>
              <w:autoSpaceDN w:val="0"/>
              <w:adjustRightInd w:val="0"/>
              <w:ind w:firstLine="540"/>
              <w:jc w:val="both"/>
              <w:rPr>
                <w:sz w:val="22"/>
                <w:szCs w:val="22"/>
              </w:rPr>
            </w:pPr>
            <w:r w:rsidRPr="00EE5792">
              <w:rPr>
                <w:sz w:val="22"/>
                <w:szCs w:val="22"/>
              </w:rPr>
              <w:t xml:space="preserve">право выбора ценовой категории, условий почасового планирования потребления электрической энергии; </w:t>
            </w:r>
          </w:p>
          <w:p w:rsidR="00FF2578" w:rsidRPr="00EE5792" w:rsidRDefault="00FF2578" w:rsidP="005E7628">
            <w:pPr>
              <w:autoSpaceDE w:val="0"/>
              <w:autoSpaceDN w:val="0"/>
              <w:adjustRightInd w:val="0"/>
              <w:ind w:firstLine="540"/>
              <w:jc w:val="both"/>
              <w:rPr>
                <w:sz w:val="22"/>
                <w:szCs w:val="22"/>
              </w:rPr>
            </w:pPr>
            <w:r w:rsidRPr="00EE5792">
              <w:rPr>
                <w:sz w:val="22"/>
                <w:szCs w:val="22"/>
              </w:rPr>
              <w:t>право досрочного расторжения или изменения договора с гарантирующим поставщиком;</w:t>
            </w:r>
          </w:p>
          <w:p w:rsidR="00FF2578" w:rsidRPr="00EE5792" w:rsidRDefault="00FF2578" w:rsidP="005E7628">
            <w:pPr>
              <w:autoSpaceDE w:val="0"/>
              <w:autoSpaceDN w:val="0"/>
              <w:adjustRightInd w:val="0"/>
              <w:ind w:firstLine="540"/>
              <w:jc w:val="both"/>
              <w:rPr>
                <w:sz w:val="22"/>
                <w:szCs w:val="22"/>
              </w:rPr>
            </w:pPr>
            <w:r w:rsidRPr="00EE5792">
              <w:rPr>
                <w:sz w:val="22"/>
                <w:szCs w:val="22"/>
              </w:rPr>
              <w:t>право выбора любого лица для оборудования точек поставки по договору приборами учета электрической энергии;</w:t>
            </w:r>
          </w:p>
          <w:p w:rsidR="00FF2578" w:rsidRPr="00EE5792" w:rsidRDefault="00FF2578" w:rsidP="005E7628">
            <w:pPr>
              <w:autoSpaceDE w:val="0"/>
              <w:autoSpaceDN w:val="0"/>
              <w:adjustRightInd w:val="0"/>
              <w:ind w:firstLine="540"/>
              <w:jc w:val="both"/>
              <w:rPr>
                <w:sz w:val="22"/>
                <w:szCs w:val="22"/>
              </w:rPr>
            </w:pPr>
            <w:r w:rsidRPr="00EE5792">
              <w:rPr>
                <w:sz w:val="22"/>
                <w:szCs w:val="22"/>
              </w:rPr>
              <w:t>обязанности гарантирующего поставщика по осуществлению действий, необходимых для реализации прав потребителя (покупателя</w:t>
            </w:r>
            <w:r w:rsidR="00B91645" w:rsidRPr="00EE5792">
              <w:rPr>
                <w:sz w:val="22"/>
                <w:szCs w:val="22"/>
              </w:rPr>
              <w:t>)</w:t>
            </w:r>
            <w:r w:rsidRPr="00EE5792">
              <w:rPr>
                <w:sz w:val="22"/>
                <w:szCs w:val="22"/>
              </w:rPr>
              <w:t xml:space="preserve">; </w:t>
            </w:r>
          </w:p>
          <w:p w:rsidR="00FF2578" w:rsidRPr="00EE5792" w:rsidRDefault="00FF2578" w:rsidP="005E7628">
            <w:pPr>
              <w:autoSpaceDE w:val="0"/>
              <w:autoSpaceDN w:val="0"/>
              <w:adjustRightInd w:val="0"/>
              <w:ind w:firstLine="540"/>
              <w:jc w:val="both"/>
              <w:rPr>
                <w:sz w:val="22"/>
                <w:szCs w:val="22"/>
              </w:rPr>
            </w:pPr>
            <w:r w:rsidRPr="00EE5792">
              <w:rPr>
                <w:sz w:val="22"/>
                <w:szCs w:val="22"/>
              </w:rPr>
              <w:t xml:space="preserve">существенные условия договора оказания услуг по передаче электрической энергии в соответствии с </w:t>
            </w:r>
            <w:hyperlink r:id="rId20" w:history="1">
              <w:r w:rsidRPr="00EE5792">
                <w:rPr>
                  <w:sz w:val="22"/>
                  <w:szCs w:val="22"/>
                </w:rPr>
                <w:t>Правилами</w:t>
              </w:r>
            </w:hyperlink>
            <w:r w:rsidRPr="00EE5792">
              <w:rPr>
                <w:sz w:val="22"/>
                <w:szCs w:val="22"/>
              </w:rPr>
              <w:t xml:space="preserve"> недискриминационного доступа к услугам по передаче электрической энергии и оказания этих услуг;</w:t>
            </w:r>
          </w:p>
          <w:p w:rsidR="00FF2578" w:rsidRPr="00EE5792" w:rsidRDefault="00FF2578" w:rsidP="005E7628">
            <w:pPr>
              <w:autoSpaceDE w:val="0"/>
              <w:autoSpaceDN w:val="0"/>
              <w:adjustRightInd w:val="0"/>
              <w:ind w:firstLine="540"/>
              <w:jc w:val="both"/>
              <w:rPr>
                <w:sz w:val="22"/>
                <w:szCs w:val="22"/>
              </w:rPr>
            </w:pPr>
            <w:r w:rsidRPr="00EE5792">
              <w:rPr>
                <w:sz w:val="22"/>
                <w:szCs w:val="22"/>
              </w:rPr>
              <w:t>условия о порядке определения объема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
          <w:p w:rsidR="00FF2578" w:rsidRPr="00EE5792" w:rsidRDefault="00FF2578" w:rsidP="005E7628">
            <w:pPr>
              <w:autoSpaceDE w:val="0"/>
              <w:autoSpaceDN w:val="0"/>
              <w:adjustRightInd w:val="0"/>
              <w:ind w:firstLine="540"/>
              <w:jc w:val="both"/>
              <w:rPr>
                <w:sz w:val="22"/>
                <w:szCs w:val="22"/>
              </w:rPr>
            </w:pPr>
            <w:proofErr w:type="gramStart"/>
            <w:r w:rsidRPr="00EE5792">
              <w:rPr>
                <w:sz w:val="22"/>
                <w:szCs w:val="22"/>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w:t>
            </w:r>
            <w:r w:rsidRPr="00EE5792">
              <w:rPr>
                <w:sz w:val="22"/>
                <w:szCs w:val="22"/>
              </w:rPr>
              <w:lastRenderedPageBreak/>
              <w:t xml:space="preserve">реактивной мощности, установленных в границах его балансовой принадлежности в соответствии с </w:t>
            </w:r>
            <w:hyperlink r:id="rId21" w:history="1">
              <w:r w:rsidRPr="00EE5792">
                <w:rPr>
                  <w:sz w:val="22"/>
                  <w:szCs w:val="22"/>
                </w:rPr>
                <w:t>Правилами</w:t>
              </w:r>
            </w:hyperlink>
            <w:r w:rsidRPr="00EE5792">
              <w:rPr>
                <w:sz w:val="22"/>
                <w:szCs w:val="22"/>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w:t>
            </w:r>
            <w:proofErr w:type="gramEnd"/>
            <w:r w:rsidRPr="00EE5792">
              <w:rPr>
                <w:sz w:val="22"/>
                <w:szCs w:val="22"/>
              </w:rPr>
              <w:t xml:space="preserve"> </w:t>
            </w:r>
            <w:proofErr w:type="gramStart"/>
            <w:r w:rsidRPr="00EE5792">
              <w:rPr>
                <w:sz w:val="22"/>
                <w:szCs w:val="22"/>
              </w:rPr>
              <w:t xml:space="preserve">постановлением Правительства Российской Федерации от 27 декабря 2004 г. N 861, или </w:t>
            </w:r>
            <w:hyperlink r:id="rId22" w:history="1">
              <w:r w:rsidRPr="00EE5792">
                <w:rPr>
                  <w:sz w:val="22"/>
                  <w:szCs w:val="22"/>
                </w:rPr>
                <w:t>Правилами</w:t>
              </w:r>
            </w:hyperlink>
            <w:r w:rsidRPr="00EE5792">
              <w:rPr>
                <w:sz w:val="22"/>
                <w:szCs w:val="22"/>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 </w:t>
            </w:r>
            <w:proofErr w:type="gramEnd"/>
          </w:p>
          <w:p w:rsidR="00FF2578" w:rsidRPr="00EE5792" w:rsidRDefault="00FF2578" w:rsidP="005E7628">
            <w:pPr>
              <w:autoSpaceDE w:val="0"/>
              <w:autoSpaceDN w:val="0"/>
              <w:adjustRightInd w:val="0"/>
              <w:ind w:firstLine="540"/>
              <w:jc w:val="both"/>
              <w:rPr>
                <w:sz w:val="22"/>
                <w:szCs w:val="22"/>
              </w:rPr>
            </w:pPr>
            <w:r w:rsidRPr="00EE5792">
              <w:rPr>
                <w:sz w:val="22"/>
                <w:szCs w:val="22"/>
              </w:rPr>
              <w:t xml:space="preserve">порядок учета электрической энергии (мощности) с использованием приборов учета и порядок взаимодействия сторон договора в процессе такого учета в том числе: </w:t>
            </w:r>
          </w:p>
          <w:p w:rsidR="00FF2578" w:rsidRPr="00EE5792" w:rsidRDefault="00FF2578" w:rsidP="005E7628">
            <w:pPr>
              <w:autoSpaceDE w:val="0"/>
              <w:autoSpaceDN w:val="0"/>
              <w:adjustRightInd w:val="0"/>
              <w:ind w:firstLine="540"/>
              <w:jc w:val="both"/>
              <w:rPr>
                <w:sz w:val="22"/>
                <w:szCs w:val="22"/>
              </w:rPr>
            </w:pPr>
            <w:r w:rsidRPr="00EE5792">
              <w:rPr>
                <w:sz w:val="22"/>
                <w:szCs w:val="22"/>
              </w:rPr>
              <w:t>порядок допуска установленного прибора учета в эксплуатацию, порядок проверки прибора учета перед его демонтажем;</w:t>
            </w:r>
          </w:p>
          <w:p w:rsidR="00FF2578" w:rsidRPr="00EE5792" w:rsidRDefault="00FF2578" w:rsidP="005E7628">
            <w:pPr>
              <w:autoSpaceDE w:val="0"/>
              <w:autoSpaceDN w:val="0"/>
              <w:adjustRightInd w:val="0"/>
              <w:ind w:firstLine="540"/>
              <w:jc w:val="both"/>
              <w:rPr>
                <w:sz w:val="22"/>
                <w:szCs w:val="22"/>
              </w:rPr>
            </w:pPr>
            <w:proofErr w:type="gramStart"/>
            <w:r w:rsidRPr="00EE5792">
              <w:rPr>
                <w:sz w:val="22"/>
                <w:szCs w:val="22"/>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roofErr w:type="gramEnd"/>
          </w:p>
          <w:p w:rsidR="00FF2578" w:rsidRPr="00EE5792" w:rsidRDefault="00FF2578" w:rsidP="005E7628">
            <w:pPr>
              <w:autoSpaceDE w:val="0"/>
              <w:autoSpaceDN w:val="0"/>
              <w:adjustRightInd w:val="0"/>
              <w:ind w:firstLine="540"/>
              <w:jc w:val="both"/>
              <w:rPr>
                <w:sz w:val="22"/>
                <w:szCs w:val="22"/>
              </w:rPr>
            </w:pPr>
            <w:r w:rsidRPr="00EE5792">
              <w:rPr>
                <w:sz w:val="22"/>
                <w:szCs w:val="22"/>
              </w:rPr>
              <w:t xml:space="preserve">требования, предъявляемые к эксплуатации прибора учета, в том числе по обеспечению поверки прибора </w:t>
            </w:r>
            <w:proofErr w:type="gramStart"/>
            <w:r w:rsidRPr="00EE5792">
              <w:rPr>
                <w:sz w:val="22"/>
                <w:szCs w:val="22"/>
              </w:rPr>
              <w:t>учета</w:t>
            </w:r>
            <w:proofErr w:type="gramEnd"/>
            <w:r w:rsidRPr="00EE5792">
              <w:rPr>
                <w:sz w:val="22"/>
                <w:szCs w:val="22"/>
              </w:rPr>
              <w:t xml:space="preserve">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FF2578" w:rsidRPr="00EE5792" w:rsidRDefault="00FF2578" w:rsidP="005E7628">
            <w:pPr>
              <w:autoSpaceDE w:val="0"/>
              <w:autoSpaceDN w:val="0"/>
              <w:adjustRightInd w:val="0"/>
              <w:ind w:firstLine="540"/>
              <w:jc w:val="both"/>
              <w:rPr>
                <w:sz w:val="22"/>
                <w:szCs w:val="22"/>
              </w:rPr>
            </w:pPr>
            <w:r w:rsidRPr="00EE5792">
              <w:rPr>
                <w:sz w:val="22"/>
                <w:szCs w:val="22"/>
              </w:rPr>
              <w:t>требования, предъявляемые к обеспечению сохранности прибора учета;</w:t>
            </w:r>
          </w:p>
          <w:p w:rsidR="00FF2578" w:rsidRPr="00EE5792" w:rsidRDefault="00FF2578" w:rsidP="005E7628">
            <w:pPr>
              <w:autoSpaceDE w:val="0"/>
              <w:autoSpaceDN w:val="0"/>
              <w:adjustRightInd w:val="0"/>
              <w:ind w:firstLine="540"/>
              <w:jc w:val="both"/>
              <w:rPr>
                <w:sz w:val="22"/>
                <w:szCs w:val="22"/>
              </w:rPr>
            </w:pPr>
            <w:r w:rsidRPr="00EE5792">
              <w:rPr>
                <w:sz w:val="22"/>
                <w:szCs w:val="22"/>
              </w:rPr>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FF2578" w:rsidRPr="00EE5792" w:rsidRDefault="00FF2578" w:rsidP="005E7628">
            <w:pPr>
              <w:autoSpaceDE w:val="0"/>
              <w:autoSpaceDN w:val="0"/>
              <w:adjustRightInd w:val="0"/>
              <w:ind w:firstLine="540"/>
              <w:jc w:val="both"/>
              <w:rPr>
                <w:sz w:val="22"/>
                <w:szCs w:val="22"/>
              </w:rPr>
            </w:pPr>
            <w:r w:rsidRPr="00EE5792">
              <w:rPr>
                <w:sz w:val="22"/>
                <w:szCs w:val="22"/>
              </w:rPr>
              <w:t>порядок сообщения о выходе прибора учета из строя, его утрате;</w:t>
            </w:r>
          </w:p>
          <w:p w:rsidR="00FF2578" w:rsidRPr="00EE5792" w:rsidRDefault="00FF2578" w:rsidP="005E7628">
            <w:pPr>
              <w:autoSpaceDE w:val="0"/>
              <w:autoSpaceDN w:val="0"/>
              <w:adjustRightInd w:val="0"/>
              <w:ind w:firstLine="540"/>
              <w:jc w:val="both"/>
              <w:rPr>
                <w:sz w:val="22"/>
                <w:szCs w:val="22"/>
              </w:rPr>
            </w:pPr>
            <w:r w:rsidRPr="00EE5792">
              <w:rPr>
                <w:sz w:val="22"/>
                <w:szCs w:val="22"/>
              </w:rPr>
              <w:t>срок восстановления учета в случае выхода из строя или утраты прибора учета, но не более 2 месяцев;</w:t>
            </w:r>
          </w:p>
          <w:p w:rsidR="00FF2578" w:rsidRPr="00EE5792" w:rsidRDefault="00FF2578" w:rsidP="005E7628">
            <w:pPr>
              <w:autoSpaceDE w:val="0"/>
              <w:autoSpaceDN w:val="0"/>
              <w:adjustRightInd w:val="0"/>
              <w:ind w:firstLine="540"/>
              <w:jc w:val="both"/>
              <w:rPr>
                <w:sz w:val="22"/>
                <w:szCs w:val="22"/>
              </w:rPr>
            </w:pPr>
            <w:r w:rsidRPr="00EE5792">
              <w:rPr>
                <w:sz w:val="22"/>
                <w:szCs w:val="22"/>
              </w:rP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для их проверки и снятия показаний; </w:t>
            </w:r>
          </w:p>
          <w:p w:rsidR="00FF2578" w:rsidRPr="00EE5792" w:rsidRDefault="00FF2578" w:rsidP="005E7628">
            <w:pPr>
              <w:autoSpaceDE w:val="0"/>
              <w:autoSpaceDN w:val="0"/>
              <w:adjustRightInd w:val="0"/>
              <w:ind w:firstLine="540"/>
              <w:jc w:val="both"/>
              <w:rPr>
                <w:sz w:val="22"/>
                <w:szCs w:val="22"/>
              </w:rPr>
            </w:pPr>
            <w:proofErr w:type="gramStart"/>
            <w:r w:rsidRPr="00EE5792">
              <w:rPr>
                <w:sz w:val="22"/>
                <w:szCs w:val="22"/>
              </w:rPr>
              <w:t>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roofErr w:type="gramEnd"/>
          </w:p>
        </w:tc>
      </w:tr>
    </w:tbl>
    <w:p w:rsidR="00CF6575" w:rsidRPr="00C33720" w:rsidRDefault="00CF6575" w:rsidP="00ED0856">
      <w:pPr>
        <w:autoSpaceDE w:val="0"/>
        <w:autoSpaceDN w:val="0"/>
        <w:adjustRightInd w:val="0"/>
        <w:spacing w:line="360" w:lineRule="auto"/>
        <w:ind w:left="851"/>
        <w:jc w:val="center"/>
        <w:rPr>
          <w:b/>
        </w:rPr>
      </w:pPr>
    </w:p>
    <w:p w:rsidR="00FC205D" w:rsidRDefault="00FC205D" w:rsidP="00ED0856">
      <w:pPr>
        <w:autoSpaceDE w:val="0"/>
        <w:autoSpaceDN w:val="0"/>
        <w:adjustRightInd w:val="0"/>
        <w:spacing w:line="360" w:lineRule="auto"/>
        <w:ind w:left="851"/>
        <w:jc w:val="center"/>
        <w:rPr>
          <w:b/>
        </w:rPr>
      </w:pPr>
    </w:p>
    <w:p w:rsidR="00FC205D" w:rsidRDefault="00FC205D" w:rsidP="00ED0856">
      <w:pPr>
        <w:autoSpaceDE w:val="0"/>
        <w:autoSpaceDN w:val="0"/>
        <w:adjustRightInd w:val="0"/>
        <w:spacing w:line="360" w:lineRule="auto"/>
        <w:ind w:left="851"/>
        <w:jc w:val="center"/>
        <w:rPr>
          <w:b/>
        </w:rPr>
      </w:pPr>
    </w:p>
    <w:p w:rsidR="00FC205D" w:rsidRDefault="00FC205D" w:rsidP="00ED0856">
      <w:pPr>
        <w:autoSpaceDE w:val="0"/>
        <w:autoSpaceDN w:val="0"/>
        <w:adjustRightInd w:val="0"/>
        <w:spacing w:line="360" w:lineRule="auto"/>
        <w:ind w:left="851"/>
        <w:jc w:val="center"/>
        <w:rPr>
          <w:b/>
        </w:rPr>
      </w:pPr>
    </w:p>
    <w:p w:rsidR="00FC205D" w:rsidRDefault="00FC205D" w:rsidP="00ED0856">
      <w:pPr>
        <w:autoSpaceDE w:val="0"/>
        <w:autoSpaceDN w:val="0"/>
        <w:adjustRightInd w:val="0"/>
        <w:spacing w:line="360" w:lineRule="auto"/>
        <w:ind w:left="851"/>
        <w:jc w:val="center"/>
        <w:rPr>
          <w:b/>
        </w:rPr>
      </w:pPr>
    </w:p>
    <w:p w:rsidR="00FC205D" w:rsidRDefault="00FC205D" w:rsidP="00ED0856">
      <w:pPr>
        <w:autoSpaceDE w:val="0"/>
        <w:autoSpaceDN w:val="0"/>
        <w:adjustRightInd w:val="0"/>
        <w:spacing w:line="360" w:lineRule="auto"/>
        <w:ind w:left="851"/>
        <w:jc w:val="center"/>
        <w:rPr>
          <w:b/>
        </w:rPr>
      </w:pPr>
    </w:p>
    <w:p w:rsidR="00FC205D" w:rsidRDefault="00FC205D" w:rsidP="00ED0856">
      <w:pPr>
        <w:autoSpaceDE w:val="0"/>
        <w:autoSpaceDN w:val="0"/>
        <w:adjustRightInd w:val="0"/>
        <w:spacing w:line="360" w:lineRule="auto"/>
        <w:ind w:left="851"/>
        <w:jc w:val="center"/>
        <w:rPr>
          <w:b/>
        </w:rPr>
        <w:sectPr w:rsidR="00FC205D" w:rsidSect="00ED0856">
          <w:pgSz w:w="16838" w:h="11906" w:orient="landscape"/>
          <w:pgMar w:top="1134" w:right="1134" w:bottom="851" w:left="851" w:header="709" w:footer="709" w:gutter="0"/>
          <w:cols w:space="708"/>
          <w:docGrid w:linePitch="360"/>
        </w:sectPr>
      </w:pPr>
    </w:p>
    <w:p w:rsidR="00ED0856" w:rsidRPr="00292301" w:rsidRDefault="00ED0856" w:rsidP="00ED0856">
      <w:pPr>
        <w:autoSpaceDE w:val="0"/>
        <w:autoSpaceDN w:val="0"/>
        <w:adjustRightInd w:val="0"/>
        <w:spacing w:line="360" w:lineRule="auto"/>
        <w:ind w:left="851"/>
        <w:jc w:val="center"/>
        <w:rPr>
          <w:b/>
          <w:sz w:val="22"/>
          <w:szCs w:val="22"/>
        </w:rPr>
      </w:pPr>
      <w:r w:rsidRPr="00292301">
        <w:rPr>
          <w:b/>
        </w:rPr>
        <w:lastRenderedPageBreak/>
        <w:t>Информация о деятельности гарантирующего поставщика</w:t>
      </w:r>
    </w:p>
    <w:p w:rsidR="00ED0856" w:rsidRPr="00292301" w:rsidRDefault="00ED0856" w:rsidP="00ED0856">
      <w:pPr>
        <w:spacing w:line="360" w:lineRule="auto"/>
        <w:ind w:firstLine="851"/>
        <w:jc w:val="both"/>
      </w:pPr>
      <w:r w:rsidRPr="00292301">
        <w:t>Зоной обслуживания ООО «</w:t>
      </w:r>
      <w:proofErr w:type="spellStart"/>
      <w:r w:rsidRPr="00292301">
        <w:t>Энергокомфорт</w:t>
      </w:r>
      <w:proofErr w:type="spellEnd"/>
      <w:r w:rsidRPr="00292301">
        <w:t xml:space="preserve">». Карелия» является город Петрозаводск, поселок </w:t>
      </w:r>
      <w:proofErr w:type="spellStart"/>
      <w:r w:rsidRPr="00292301">
        <w:t>Кварцитный</w:t>
      </w:r>
      <w:proofErr w:type="spellEnd"/>
      <w:r w:rsidRPr="00292301">
        <w:t xml:space="preserve">  </w:t>
      </w:r>
      <w:proofErr w:type="spellStart"/>
      <w:r w:rsidRPr="00292301">
        <w:t>Прионежского</w:t>
      </w:r>
      <w:proofErr w:type="spellEnd"/>
      <w:r w:rsidRPr="00292301">
        <w:t xml:space="preserve"> района.</w:t>
      </w:r>
    </w:p>
    <w:p w:rsidR="00ED0856" w:rsidRPr="00292301" w:rsidRDefault="00ED0856" w:rsidP="00ED0856">
      <w:pPr>
        <w:spacing w:line="360" w:lineRule="auto"/>
        <w:jc w:val="both"/>
        <w:rPr>
          <w:color w:val="000000"/>
          <w:sz w:val="22"/>
          <w:szCs w:val="22"/>
        </w:rPr>
      </w:pPr>
      <w:r>
        <w:rPr>
          <w:color w:val="000000"/>
          <w:sz w:val="22"/>
          <w:szCs w:val="22"/>
        </w:rPr>
        <w:t>Л</w:t>
      </w:r>
      <w:r w:rsidRPr="00292301">
        <w:rPr>
          <w:color w:val="000000"/>
          <w:sz w:val="22"/>
          <w:szCs w:val="22"/>
        </w:rPr>
        <w:t>ицензия № ПЭ-00-006561(э), выдана 22.06.2006</w:t>
      </w:r>
      <w:r>
        <w:rPr>
          <w:color w:val="000000"/>
          <w:sz w:val="22"/>
          <w:szCs w:val="22"/>
        </w:rPr>
        <w:t>г.</w:t>
      </w:r>
      <w:r w:rsidRPr="00292301">
        <w:rPr>
          <w:color w:val="000000"/>
          <w:sz w:val="22"/>
          <w:szCs w:val="22"/>
        </w:rPr>
        <w:t xml:space="preserve"> Федеральной службой по экологическому, технологическому и атомному надзору.</w:t>
      </w:r>
    </w:p>
    <w:p w:rsidR="00ED0856" w:rsidRPr="00292301" w:rsidRDefault="00ED0856" w:rsidP="00ED0856">
      <w:pPr>
        <w:spacing w:line="360" w:lineRule="auto"/>
        <w:jc w:val="both"/>
        <w:rPr>
          <w:color w:val="000000"/>
          <w:sz w:val="22"/>
          <w:szCs w:val="22"/>
        </w:rPr>
      </w:pPr>
      <w:r w:rsidRPr="00292301">
        <w:rPr>
          <w:color w:val="000000"/>
          <w:sz w:val="22"/>
          <w:szCs w:val="22"/>
        </w:rPr>
        <w:t>Место нахождения ООО «</w:t>
      </w:r>
      <w:proofErr w:type="spellStart"/>
      <w:r w:rsidRPr="00292301">
        <w:rPr>
          <w:color w:val="000000"/>
          <w:sz w:val="22"/>
          <w:szCs w:val="22"/>
        </w:rPr>
        <w:t>Энергокомфорт</w:t>
      </w:r>
      <w:proofErr w:type="spellEnd"/>
      <w:r w:rsidRPr="00292301">
        <w:rPr>
          <w:color w:val="000000"/>
          <w:sz w:val="22"/>
          <w:szCs w:val="22"/>
        </w:rPr>
        <w:t xml:space="preserve">». Карелия»: </w:t>
      </w:r>
    </w:p>
    <w:p w:rsidR="00ED0856" w:rsidRPr="00292301" w:rsidRDefault="00ED0856" w:rsidP="00ED0856">
      <w:pPr>
        <w:pStyle w:val="2"/>
        <w:spacing w:line="360" w:lineRule="auto"/>
        <w:rPr>
          <w:color w:val="000000"/>
          <w:sz w:val="22"/>
          <w:szCs w:val="22"/>
        </w:rPr>
      </w:pPr>
      <w:proofErr w:type="gramStart"/>
      <w:r w:rsidRPr="00292301">
        <w:rPr>
          <w:color w:val="000000"/>
          <w:sz w:val="22"/>
          <w:szCs w:val="22"/>
        </w:rPr>
        <w:t xml:space="preserve">юридический адрес/ почтовый адрес: </w:t>
      </w:r>
      <w:r>
        <w:rPr>
          <w:color w:val="000000"/>
          <w:sz w:val="22"/>
          <w:szCs w:val="22"/>
        </w:rPr>
        <w:t>–</w:t>
      </w:r>
      <w:r w:rsidRPr="00172551">
        <w:rPr>
          <w:color w:val="000000"/>
          <w:sz w:val="22"/>
          <w:szCs w:val="22"/>
        </w:rPr>
        <w:t xml:space="preserve"> </w:t>
      </w:r>
      <w:r w:rsidRPr="00292301">
        <w:rPr>
          <w:color w:val="000000"/>
          <w:sz w:val="22"/>
          <w:szCs w:val="22"/>
        </w:rPr>
        <w:t xml:space="preserve">185031 Республика Карелия, г. Петрозаводск, </w:t>
      </w:r>
      <w:r w:rsidRPr="00094910">
        <w:rPr>
          <w:color w:val="000000"/>
          <w:sz w:val="22"/>
          <w:szCs w:val="22"/>
        </w:rPr>
        <w:t>ул. Зайцева, д.67«А»</w:t>
      </w:r>
      <w:proofErr w:type="gramEnd"/>
    </w:p>
    <w:p w:rsidR="00ED0856" w:rsidRPr="00292301" w:rsidRDefault="00ED0856" w:rsidP="00ED0856">
      <w:pPr>
        <w:pStyle w:val="2"/>
        <w:spacing w:line="360" w:lineRule="auto"/>
        <w:rPr>
          <w:color w:val="000000"/>
          <w:sz w:val="22"/>
          <w:szCs w:val="22"/>
        </w:rPr>
      </w:pPr>
      <w:r w:rsidRPr="00292301">
        <w:rPr>
          <w:color w:val="000000"/>
          <w:sz w:val="22"/>
          <w:szCs w:val="22"/>
        </w:rPr>
        <w:t>место нахождения отдела электроснабжения ООО «</w:t>
      </w:r>
      <w:proofErr w:type="spellStart"/>
      <w:r w:rsidRPr="00292301">
        <w:rPr>
          <w:color w:val="000000"/>
          <w:sz w:val="22"/>
          <w:szCs w:val="22"/>
        </w:rPr>
        <w:t>Энергокомфорт</w:t>
      </w:r>
      <w:proofErr w:type="spellEnd"/>
      <w:r w:rsidRPr="00292301">
        <w:rPr>
          <w:color w:val="000000"/>
          <w:sz w:val="22"/>
          <w:szCs w:val="22"/>
        </w:rPr>
        <w:t xml:space="preserve">». Карелия»: </w:t>
      </w:r>
    </w:p>
    <w:p w:rsidR="00ED0856" w:rsidRPr="00292301" w:rsidRDefault="00ED0856" w:rsidP="00ED0856">
      <w:pPr>
        <w:pStyle w:val="2"/>
        <w:spacing w:line="360" w:lineRule="auto"/>
        <w:rPr>
          <w:color w:val="000000"/>
          <w:sz w:val="22"/>
          <w:szCs w:val="22"/>
        </w:rPr>
      </w:pPr>
      <w:r w:rsidRPr="00292301">
        <w:rPr>
          <w:color w:val="000000"/>
          <w:sz w:val="22"/>
          <w:szCs w:val="22"/>
        </w:rPr>
        <w:t>почтовый адрес отдела электроснабжения ООО «</w:t>
      </w:r>
      <w:proofErr w:type="spellStart"/>
      <w:r w:rsidRPr="00292301">
        <w:rPr>
          <w:color w:val="000000"/>
          <w:sz w:val="22"/>
          <w:szCs w:val="22"/>
        </w:rPr>
        <w:t>Энергокомфорт</w:t>
      </w:r>
      <w:proofErr w:type="spellEnd"/>
      <w:r w:rsidRPr="00292301">
        <w:rPr>
          <w:color w:val="000000"/>
          <w:sz w:val="22"/>
          <w:szCs w:val="22"/>
        </w:rPr>
        <w:t xml:space="preserve">». </w:t>
      </w:r>
      <w:proofErr w:type="gramStart"/>
      <w:r w:rsidRPr="00292301">
        <w:rPr>
          <w:color w:val="000000"/>
          <w:sz w:val="22"/>
          <w:szCs w:val="22"/>
        </w:rPr>
        <w:t>Карелия»: 185031 Республика Карелия г. Петрозаводск, ул. Зайцева, д.67«А»</w:t>
      </w:r>
      <w:proofErr w:type="gramEnd"/>
    </w:p>
    <w:p w:rsidR="00ED0856" w:rsidRPr="00292301" w:rsidRDefault="00ED0856" w:rsidP="00ED0856">
      <w:pPr>
        <w:spacing w:line="360" w:lineRule="auto"/>
        <w:jc w:val="both"/>
        <w:rPr>
          <w:color w:val="000000"/>
          <w:sz w:val="22"/>
          <w:szCs w:val="22"/>
        </w:rPr>
      </w:pPr>
      <w:r w:rsidRPr="00292301">
        <w:rPr>
          <w:color w:val="000000"/>
          <w:sz w:val="22"/>
          <w:szCs w:val="22"/>
        </w:rPr>
        <w:t>телефоны – (8142) 59-40</w:t>
      </w:r>
      <w:r>
        <w:rPr>
          <w:color w:val="000000"/>
          <w:sz w:val="22"/>
          <w:szCs w:val="22"/>
        </w:rPr>
        <w:t>-</w:t>
      </w:r>
      <w:r w:rsidRPr="008D366A">
        <w:rPr>
          <w:color w:val="000000"/>
          <w:sz w:val="22"/>
          <w:szCs w:val="22"/>
        </w:rPr>
        <w:t>0</w:t>
      </w:r>
      <w:r w:rsidRPr="00292301">
        <w:rPr>
          <w:color w:val="000000"/>
          <w:sz w:val="22"/>
          <w:szCs w:val="22"/>
        </w:rPr>
        <w:t>0, 33-26-03, 33-26-04</w:t>
      </w:r>
    </w:p>
    <w:p w:rsidR="00ED0856" w:rsidRPr="00292301" w:rsidRDefault="00ED0856" w:rsidP="00ED0856">
      <w:pPr>
        <w:spacing w:line="360" w:lineRule="auto"/>
        <w:jc w:val="both"/>
        <w:rPr>
          <w:color w:val="000000"/>
          <w:sz w:val="22"/>
          <w:szCs w:val="22"/>
        </w:rPr>
      </w:pPr>
      <w:r w:rsidRPr="00292301">
        <w:rPr>
          <w:color w:val="000000"/>
          <w:sz w:val="22"/>
          <w:szCs w:val="22"/>
        </w:rPr>
        <w:t>факс – (8142) 33-26-33</w:t>
      </w:r>
    </w:p>
    <w:p w:rsidR="00ED0856" w:rsidRPr="00292301" w:rsidRDefault="00ED0856" w:rsidP="00ED0856">
      <w:pPr>
        <w:spacing w:line="360" w:lineRule="auto"/>
        <w:jc w:val="both"/>
        <w:rPr>
          <w:sz w:val="22"/>
          <w:szCs w:val="22"/>
        </w:rPr>
      </w:pPr>
      <w:r w:rsidRPr="00292301">
        <w:rPr>
          <w:color w:val="000000"/>
          <w:sz w:val="22"/>
          <w:szCs w:val="22"/>
        </w:rPr>
        <w:t>адрес электронной почт</w:t>
      </w:r>
      <w:proofErr w:type="gramStart"/>
      <w:r w:rsidRPr="00292301">
        <w:rPr>
          <w:color w:val="000000"/>
          <w:sz w:val="22"/>
          <w:szCs w:val="22"/>
        </w:rPr>
        <w:t>ы ООО</w:t>
      </w:r>
      <w:proofErr w:type="gramEnd"/>
      <w:r w:rsidRPr="00292301">
        <w:rPr>
          <w:color w:val="000000"/>
          <w:sz w:val="22"/>
          <w:szCs w:val="22"/>
        </w:rPr>
        <w:t xml:space="preserve"> «</w:t>
      </w:r>
      <w:proofErr w:type="spellStart"/>
      <w:r w:rsidRPr="00292301">
        <w:rPr>
          <w:color w:val="000000"/>
          <w:sz w:val="22"/>
          <w:szCs w:val="22"/>
        </w:rPr>
        <w:t>Энергокомфорт</w:t>
      </w:r>
      <w:proofErr w:type="spellEnd"/>
      <w:r w:rsidRPr="00292301">
        <w:rPr>
          <w:color w:val="000000"/>
          <w:sz w:val="22"/>
          <w:szCs w:val="22"/>
        </w:rPr>
        <w:t xml:space="preserve">». Карелия» </w:t>
      </w:r>
      <w:r w:rsidRPr="00292301">
        <w:rPr>
          <w:sz w:val="22"/>
          <w:szCs w:val="22"/>
        </w:rPr>
        <w:t xml:space="preserve">(отдел электроснабжения) - </w:t>
      </w:r>
      <w:hyperlink r:id="rId23" w:history="1">
        <w:r w:rsidRPr="00292301">
          <w:rPr>
            <w:rStyle w:val="a3"/>
            <w:sz w:val="22"/>
            <w:szCs w:val="22"/>
            <w:lang w:val="en-US"/>
          </w:rPr>
          <w:t>komfort</w:t>
        </w:r>
        <w:r w:rsidRPr="00292301">
          <w:rPr>
            <w:rStyle w:val="a3"/>
            <w:sz w:val="22"/>
            <w:szCs w:val="22"/>
          </w:rPr>
          <w:t>@</w:t>
        </w:r>
        <w:r w:rsidRPr="00292301">
          <w:rPr>
            <w:rStyle w:val="a3"/>
            <w:sz w:val="22"/>
            <w:szCs w:val="22"/>
            <w:lang w:val="en-US"/>
          </w:rPr>
          <w:t>rks</w:t>
        </w:r>
        <w:r w:rsidRPr="00292301">
          <w:rPr>
            <w:rStyle w:val="a3"/>
            <w:sz w:val="22"/>
            <w:szCs w:val="22"/>
          </w:rPr>
          <w:t>.</w:t>
        </w:r>
        <w:r w:rsidRPr="00292301">
          <w:rPr>
            <w:rStyle w:val="a3"/>
            <w:sz w:val="22"/>
            <w:szCs w:val="22"/>
            <w:lang w:val="en-US"/>
          </w:rPr>
          <w:t>karelia</w:t>
        </w:r>
        <w:r w:rsidRPr="00292301">
          <w:rPr>
            <w:rStyle w:val="a3"/>
            <w:sz w:val="22"/>
            <w:szCs w:val="22"/>
          </w:rPr>
          <w:t>.</w:t>
        </w:r>
        <w:r w:rsidRPr="00292301">
          <w:rPr>
            <w:rStyle w:val="a3"/>
            <w:sz w:val="22"/>
            <w:szCs w:val="22"/>
            <w:lang w:val="en-US"/>
          </w:rPr>
          <w:t>ru</w:t>
        </w:r>
      </w:hyperlink>
      <w:r w:rsidRPr="00292301">
        <w:rPr>
          <w:color w:val="000000"/>
          <w:sz w:val="22"/>
          <w:szCs w:val="22"/>
        </w:rPr>
        <w:t xml:space="preserve"> (</w:t>
      </w:r>
      <w:hyperlink r:id="rId24" w:history="1">
        <w:r w:rsidRPr="00683594">
          <w:rPr>
            <w:rStyle w:val="a3"/>
            <w:sz w:val="22"/>
            <w:szCs w:val="22"/>
            <w:lang w:val="en-US"/>
          </w:rPr>
          <w:t>electra</w:t>
        </w:r>
        <w:r w:rsidRPr="00683594">
          <w:rPr>
            <w:rStyle w:val="a3"/>
            <w:sz w:val="22"/>
            <w:szCs w:val="22"/>
          </w:rPr>
          <w:t>@</w:t>
        </w:r>
        <w:r w:rsidRPr="00683594">
          <w:rPr>
            <w:rStyle w:val="a3"/>
            <w:sz w:val="22"/>
            <w:szCs w:val="22"/>
            <w:lang w:val="en-US"/>
          </w:rPr>
          <w:t>rks</w:t>
        </w:r>
        <w:r w:rsidRPr="00683594">
          <w:rPr>
            <w:rStyle w:val="a3"/>
            <w:sz w:val="22"/>
            <w:szCs w:val="22"/>
          </w:rPr>
          <w:t>.</w:t>
        </w:r>
        <w:r w:rsidRPr="00683594">
          <w:rPr>
            <w:rStyle w:val="a3"/>
            <w:sz w:val="22"/>
            <w:szCs w:val="22"/>
            <w:lang w:val="en-US"/>
          </w:rPr>
          <w:t>karelia</w:t>
        </w:r>
        <w:r w:rsidRPr="00683594">
          <w:rPr>
            <w:rStyle w:val="a3"/>
            <w:sz w:val="22"/>
            <w:szCs w:val="22"/>
          </w:rPr>
          <w:t>.</w:t>
        </w:r>
        <w:r w:rsidRPr="00683594">
          <w:rPr>
            <w:rStyle w:val="a3"/>
            <w:sz w:val="22"/>
            <w:szCs w:val="22"/>
            <w:lang w:val="en-US"/>
          </w:rPr>
          <w:t>r</w:t>
        </w:r>
        <w:proofErr w:type="spellStart"/>
        <w:r w:rsidRPr="00683594">
          <w:rPr>
            <w:rStyle w:val="a3"/>
          </w:rPr>
          <w:t>u</w:t>
        </w:r>
        <w:proofErr w:type="spellEnd"/>
      </w:hyperlink>
      <w:r w:rsidRPr="00292301">
        <w:rPr>
          <w:color w:val="000000"/>
          <w:sz w:val="22"/>
          <w:szCs w:val="22"/>
        </w:rPr>
        <w:t>,)</w:t>
      </w:r>
    </w:p>
    <w:p w:rsidR="00ED0856" w:rsidRPr="00292301" w:rsidRDefault="00ED0856" w:rsidP="00ED0856">
      <w:pPr>
        <w:spacing w:line="360" w:lineRule="auto"/>
        <w:jc w:val="both"/>
        <w:rPr>
          <w:color w:val="000000"/>
          <w:sz w:val="22"/>
          <w:szCs w:val="22"/>
        </w:rPr>
      </w:pPr>
      <w:r w:rsidRPr="00292301">
        <w:rPr>
          <w:color w:val="000000"/>
          <w:sz w:val="22"/>
          <w:szCs w:val="22"/>
        </w:rPr>
        <w:t>информация о банковских реквизитах ООО «</w:t>
      </w:r>
      <w:proofErr w:type="spellStart"/>
      <w:r w:rsidRPr="00292301">
        <w:rPr>
          <w:color w:val="000000"/>
          <w:sz w:val="22"/>
          <w:szCs w:val="22"/>
        </w:rPr>
        <w:t>Энергокомфорт</w:t>
      </w:r>
      <w:proofErr w:type="spellEnd"/>
      <w:r w:rsidRPr="00292301">
        <w:rPr>
          <w:color w:val="000000"/>
          <w:sz w:val="22"/>
          <w:szCs w:val="22"/>
        </w:rPr>
        <w:t xml:space="preserve">». Карелия»  </w:t>
      </w:r>
    </w:p>
    <w:p w:rsidR="00ED0856" w:rsidRPr="00147B19" w:rsidRDefault="00ED0856" w:rsidP="00ED0856">
      <w:pPr>
        <w:pStyle w:val="2"/>
        <w:spacing w:line="360" w:lineRule="auto"/>
        <w:rPr>
          <w:color w:val="000000"/>
          <w:sz w:val="22"/>
          <w:szCs w:val="22"/>
        </w:rPr>
      </w:pPr>
      <w:r w:rsidRPr="00094910">
        <w:rPr>
          <w:color w:val="000000"/>
          <w:sz w:val="22"/>
          <w:szCs w:val="22"/>
        </w:rPr>
        <w:t>ИНН/КПП 1001174763/100150001</w:t>
      </w:r>
    </w:p>
    <w:p w:rsidR="00ED0856" w:rsidRPr="00292301" w:rsidRDefault="00ED0856" w:rsidP="00ED0856">
      <w:pPr>
        <w:spacing w:line="360" w:lineRule="auto"/>
        <w:ind w:right="-717"/>
        <w:jc w:val="both"/>
        <w:rPr>
          <w:i/>
        </w:rPr>
      </w:pPr>
      <w:r w:rsidRPr="00292301">
        <w:rPr>
          <w:i/>
          <w:color w:val="000000"/>
          <w:sz w:val="22"/>
          <w:szCs w:val="22"/>
        </w:rPr>
        <w:t>Филиал</w:t>
      </w:r>
      <w:r w:rsidRPr="00292301">
        <w:rPr>
          <w:i/>
        </w:rPr>
        <w:t xml:space="preserve"> «</w:t>
      </w:r>
      <w:proofErr w:type="spellStart"/>
      <w:r w:rsidRPr="00292301">
        <w:rPr>
          <w:i/>
        </w:rPr>
        <w:t>С-Петербургская</w:t>
      </w:r>
      <w:proofErr w:type="spellEnd"/>
      <w:r w:rsidRPr="00292301">
        <w:rPr>
          <w:i/>
        </w:rPr>
        <w:t xml:space="preserve"> дирекция ОАО «УРАЛСИБ» г</w:t>
      </w:r>
      <w:proofErr w:type="gramStart"/>
      <w:r w:rsidRPr="00292301">
        <w:rPr>
          <w:i/>
        </w:rPr>
        <w:t>.С</w:t>
      </w:r>
      <w:proofErr w:type="gramEnd"/>
      <w:r w:rsidRPr="00292301">
        <w:rPr>
          <w:i/>
        </w:rPr>
        <w:t>анкт-Петербург</w:t>
      </w:r>
    </w:p>
    <w:p w:rsidR="00ED0856" w:rsidRPr="00292301" w:rsidRDefault="00ED0856" w:rsidP="00ED0856">
      <w:pPr>
        <w:spacing w:line="360" w:lineRule="auto"/>
        <w:ind w:right="-717"/>
        <w:jc w:val="both"/>
      </w:pPr>
      <w:proofErr w:type="gramStart"/>
      <w:r w:rsidRPr="00292301">
        <w:rPr>
          <w:color w:val="000000"/>
          <w:sz w:val="22"/>
          <w:szCs w:val="22"/>
        </w:rPr>
        <w:t>Р</w:t>
      </w:r>
      <w:proofErr w:type="gramEnd"/>
      <w:r w:rsidRPr="00292301">
        <w:rPr>
          <w:color w:val="000000"/>
          <w:sz w:val="22"/>
          <w:szCs w:val="22"/>
        </w:rPr>
        <w:t xml:space="preserve">/счет 40702810822330001233 </w:t>
      </w:r>
    </w:p>
    <w:p w:rsidR="00ED0856" w:rsidRPr="00C33720" w:rsidRDefault="00ED0856" w:rsidP="00ED0856">
      <w:pPr>
        <w:spacing w:line="360" w:lineRule="auto"/>
        <w:jc w:val="both"/>
        <w:rPr>
          <w:color w:val="000000"/>
          <w:sz w:val="22"/>
          <w:szCs w:val="22"/>
        </w:rPr>
      </w:pPr>
      <w:proofErr w:type="spellStart"/>
      <w:proofErr w:type="gramStart"/>
      <w:r w:rsidRPr="00292301">
        <w:rPr>
          <w:color w:val="000000"/>
          <w:sz w:val="22"/>
          <w:szCs w:val="22"/>
        </w:rPr>
        <w:t>Кор</w:t>
      </w:r>
      <w:proofErr w:type="spellEnd"/>
      <w:r w:rsidRPr="00292301">
        <w:rPr>
          <w:color w:val="000000"/>
          <w:sz w:val="22"/>
          <w:szCs w:val="22"/>
        </w:rPr>
        <w:t>/счет</w:t>
      </w:r>
      <w:proofErr w:type="gramEnd"/>
      <w:r w:rsidRPr="00292301">
        <w:rPr>
          <w:color w:val="000000"/>
          <w:sz w:val="22"/>
          <w:szCs w:val="22"/>
        </w:rPr>
        <w:t xml:space="preserve"> 30101810800000000706 БИК 044030706</w:t>
      </w:r>
    </w:p>
    <w:p w:rsidR="00CF6575" w:rsidRPr="00C33720" w:rsidRDefault="00CF6575" w:rsidP="00ED0856">
      <w:pPr>
        <w:spacing w:line="360" w:lineRule="auto"/>
        <w:jc w:val="both"/>
        <w:rPr>
          <w:color w:val="000000"/>
          <w:sz w:val="22"/>
          <w:szCs w:val="22"/>
        </w:rPr>
      </w:pPr>
    </w:p>
    <w:p w:rsidR="00ED0856" w:rsidRPr="00292301" w:rsidRDefault="00ED0856" w:rsidP="00ED0856">
      <w:pPr>
        <w:spacing w:line="360" w:lineRule="auto"/>
        <w:ind w:left="851"/>
        <w:jc w:val="center"/>
        <w:rPr>
          <w:b/>
          <w:color w:val="000000"/>
          <w:sz w:val="22"/>
          <w:szCs w:val="22"/>
        </w:rPr>
      </w:pPr>
      <w:r w:rsidRPr="00292301">
        <w:rPr>
          <w:b/>
        </w:rPr>
        <w:t>Информация об инвестиционной программе</w:t>
      </w:r>
    </w:p>
    <w:p w:rsidR="00ED0856" w:rsidRPr="00C33720" w:rsidRDefault="00ED0856" w:rsidP="00ED0856">
      <w:pPr>
        <w:spacing w:line="360" w:lineRule="auto"/>
        <w:ind w:firstLine="851"/>
        <w:jc w:val="both"/>
      </w:pPr>
      <w:r w:rsidRPr="00292301">
        <w:t>В 201</w:t>
      </w:r>
      <w:r w:rsidR="00C33720" w:rsidRPr="00C33720">
        <w:t>6</w:t>
      </w:r>
      <w:r w:rsidRPr="00292301">
        <w:t xml:space="preserve"> году метод доходности инвестированного капитала при государственном регулировании тарифов в отношен</w:t>
      </w:r>
      <w:proofErr w:type="gramStart"/>
      <w:r w:rsidRPr="00292301">
        <w:t xml:space="preserve">ии </w:t>
      </w:r>
      <w:r w:rsidRPr="00292301">
        <w:rPr>
          <w:color w:val="000000"/>
          <w:sz w:val="22"/>
          <w:szCs w:val="22"/>
        </w:rPr>
        <w:t>ООО</w:t>
      </w:r>
      <w:proofErr w:type="gramEnd"/>
      <w:r w:rsidRPr="00292301">
        <w:rPr>
          <w:color w:val="000000"/>
          <w:sz w:val="22"/>
          <w:szCs w:val="22"/>
        </w:rPr>
        <w:t xml:space="preserve"> «</w:t>
      </w:r>
      <w:proofErr w:type="spellStart"/>
      <w:r w:rsidRPr="00292301">
        <w:rPr>
          <w:color w:val="000000"/>
          <w:sz w:val="22"/>
          <w:szCs w:val="22"/>
        </w:rPr>
        <w:t>Энергокомфорт</w:t>
      </w:r>
      <w:proofErr w:type="spellEnd"/>
      <w:r w:rsidRPr="00292301">
        <w:rPr>
          <w:color w:val="000000"/>
          <w:sz w:val="22"/>
          <w:szCs w:val="22"/>
        </w:rPr>
        <w:t>». Карелия»</w:t>
      </w:r>
      <w:r w:rsidRPr="00292301">
        <w:t xml:space="preserve"> не применялся. Инвестиционной программы нет.</w:t>
      </w:r>
    </w:p>
    <w:p w:rsidR="00CF6575" w:rsidRPr="00C33720" w:rsidRDefault="00CF6575" w:rsidP="00ED0856">
      <w:pPr>
        <w:spacing w:line="360" w:lineRule="auto"/>
        <w:ind w:firstLine="851"/>
        <w:jc w:val="both"/>
      </w:pPr>
    </w:p>
    <w:p w:rsidR="00ED0856" w:rsidRPr="00292301" w:rsidRDefault="00ED0856" w:rsidP="00ED0856">
      <w:pPr>
        <w:pStyle w:val="ConsPlusNormal"/>
        <w:spacing w:line="360" w:lineRule="auto"/>
        <w:ind w:left="142"/>
        <w:jc w:val="center"/>
        <w:rPr>
          <w:rFonts w:ascii="Times New Roman" w:eastAsia="Times New Roman" w:hAnsi="Times New Roman" w:cs="Times New Roman"/>
          <w:b/>
          <w:sz w:val="24"/>
          <w:szCs w:val="24"/>
          <w:lang w:eastAsia="ru-RU"/>
        </w:rPr>
      </w:pPr>
      <w:r w:rsidRPr="00292301">
        <w:rPr>
          <w:rFonts w:ascii="Times New Roman" w:eastAsia="Times New Roman" w:hAnsi="Times New Roman" w:cs="Times New Roman"/>
          <w:b/>
          <w:sz w:val="24"/>
          <w:szCs w:val="24"/>
          <w:lang w:eastAsia="ru-RU"/>
        </w:rPr>
        <w:t>Информация об основаниях для введения полного и (или) частичного ограничения режима потребления электрической энергии</w:t>
      </w:r>
    </w:p>
    <w:tbl>
      <w:tblPr>
        <w:tblStyle w:val="a4"/>
        <w:tblW w:w="10873" w:type="dxa"/>
        <w:tblInd w:w="-559" w:type="dxa"/>
        <w:tblLook w:val="04A0"/>
      </w:tblPr>
      <w:tblGrid>
        <w:gridCol w:w="675"/>
        <w:gridCol w:w="10198"/>
      </w:tblGrid>
      <w:tr w:rsidR="00ED0856" w:rsidTr="00FC205D">
        <w:tc>
          <w:tcPr>
            <w:tcW w:w="675" w:type="dxa"/>
          </w:tcPr>
          <w:p w:rsidR="00ED0856" w:rsidRDefault="00ED0856" w:rsidP="00682DC5">
            <w:pPr>
              <w:jc w:val="center"/>
            </w:pPr>
            <w:r>
              <w:rPr>
                <w:lang w:val="en-US"/>
              </w:rPr>
              <w:t>№</w:t>
            </w:r>
            <w:r>
              <w:rPr>
                <w:lang w:val="en-US"/>
              </w:rPr>
              <w:br/>
              <w:t>п/п</w:t>
            </w:r>
          </w:p>
        </w:tc>
        <w:tc>
          <w:tcPr>
            <w:tcW w:w="10198" w:type="dxa"/>
          </w:tcPr>
          <w:p w:rsidR="00ED0856" w:rsidRDefault="00ED0856" w:rsidP="00682DC5">
            <w:pPr>
              <w:jc w:val="center"/>
            </w:pPr>
            <w:r>
              <w:t>Основания для введения полного и (или) частичного</w:t>
            </w:r>
            <w:r w:rsidRPr="001A3F25">
              <w:br/>
            </w:r>
            <w:r>
              <w:t>ограничения режима потребления электрической энергии</w:t>
            </w:r>
          </w:p>
        </w:tc>
      </w:tr>
      <w:tr w:rsidR="00ED0856" w:rsidTr="00FC205D">
        <w:tc>
          <w:tcPr>
            <w:tcW w:w="675" w:type="dxa"/>
          </w:tcPr>
          <w:p w:rsidR="00ED0856" w:rsidRDefault="00ED0856" w:rsidP="00682DC5">
            <w:pPr>
              <w:jc w:val="center"/>
            </w:pPr>
            <w:r>
              <w:t>1</w:t>
            </w:r>
          </w:p>
        </w:tc>
        <w:tc>
          <w:tcPr>
            <w:tcW w:w="10198" w:type="dxa"/>
          </w:tcPr>
          <w:p w:rsidR="00ED0856" w:rsidRDefault="00ED0856" w:rsidP="00682DC5">
            <w:pPr>
              <w:jc w:val="center"/>
            </w:pPr>
            <w:r>
              <w:t>2</w:t>
            </w:r>
          </w:p>
        </w:tc>
      </w:tr>
      <w:tr w:rsidR="00ED0856" w:rsidTr="00FC205D">
        <w:tc>
          <w:tcPr>
            <w:tcW w:w="675" w:type="dxa"/>
          </w:tcPr>
          <w:p w:rsidR="00ED0856" w:rsidRDefault="00ED0856" w:rsidP="00682DC5"/>
        </w:tc>
        <w:tc>
          <w:tcPr>
            <w:tcW w:w="10198" w:type="dxa"/>
          </w:tcPr>
          <w:p w:rsidR="00ED0856" w:rsidRPr="00292301" w:rsidRDefault="00ED0856" w:rsidP="00682DC5">
            <w:pPr>
              <w:autoSpaceDE w:val="0"/>
              <w:autoSpaceDN w:val="0"/>
              <w:adjustRightInd w:val="0"/>
              <w:ind w:firstLine="539"/>
              <w:jc w:val="both"/>
              <w:rPr>
                <w:sz w:val="22"/>
                <w:szCs w:val="22"/>
              </w:rPr>
            </w:pPr>
            <w:r w:rsidRPr="00292301">
              <w:rPr>
                <w:sz w:val="22"/>
                <w:szCs w:val="22"/>
              </w:rPr>
              <w:t>Ограничение режима потребления электрической энергии вводится при наступлении любого из следующих обстоятельств:</w:t>
            </w:r>
          </w:p>
          <w:p w:rsidR="00ED0856" w:rsidRPr="00292301" w:rsidRDefault="00ED0856" w:rsidP="00682DC5">
            <w:pPr>
              <w:autoSpaceDE w:val="0"/>
              <w:autoSpaceDN w:val="0"/>
              <w:adjustRightInd w:val="0"/>
              <w:ind w:firstLine="539"/>
              <w:jc w:val="both"/>
              <w:rPr>
                <w:sz w:val="22"/>
                <w:szCs w:val="22"/>
              </w:rPr>
            </w:pPr>
            <w:r w:rsidRPr="00292301">
              <w:rPr>
                <w:sz w:val="22"/>
                <w:szCs w:val="22"/>
              </w:rPr>
              <w:t>а) соглашение сторон договора энергоснабжения (купли-продажи (поставки) электрической энергии (мощности));</w:t>
            </w:r>
          </w:p>
          <w:p w:rsidR="00ED0856" w:rsidRPr="00292301" w:rsidRDefault="00ED0856" w:rsidP="00682DC5">
            <w:pPr>
              <w:autoSpaceDE w:val="0"/>
              <w:autoSpaceDN w:val="0"/>
              <w:adjustRightInd w:val="0"/>
              <w:ind w:firstLine="539"/>
              <w:jc w:val="both"/>
              <w:rPr>
                <w:sz w:val="22"/>
                <w:szCs w:val="22"/>
              </w:rPr>
            </w:pPr>
            <w:r w:rsidRPr="00292301">
              <w:rPr>
                <w:sz w:val="22"/>
                <w:szCs w:val="22"/>
              </w:rPr>
              <w:t xml:space="preserve">б) нарушение своих обязательств потребителем, выразившееся </w:t>
            </w:r>
            <w:proofErr w:type="gramStart"/>
            <w:r w:rsidRPr="00292301">
              <w:rPr>
                <w:sz w:val="22"/>
                <w:szCs w:val="22"/>
              </w:rPr>
              <w:t>в</w:t>
            </w:r>
            <w:proofErr w:type="gramEnd"/>
            <w:r w:rsidRPr="00292301">
              <w:rPr>
                <w:sz w:val="22"/>
                <w:szCs w:val="22"/>
              </w:rPr>
              <w:t>:</w:t>
            </w:r>
          </w:p>
          <w:p w:rsidR="00ED0856" w:rsidRPr="00292301" w:rsidRDefault="00ED0856" w:rsidP="00682DC5">
            <w:pPr>
              <w:autoSpaceDE w:val="0"/>
              <w:autoSpaceDN w:val="0"/>
              <w:adjustRightInd w:val="0"/>
              <w:ind w:firstLine="539"/>
              <w:jc w:val="both"/>
              <w:rPr>
                <w:sz w:val="22"/>
                <w:szCs w:val="22"/>
              </w:rPr>
            </w:pPr>
            <w:proofErr w:type="gramStart"/>
            <w:r w:rsidRPr="00292301">
              <w:rPr>
                <w:sz w:val="22"/>
                <w:szCs w:val="22"/>
              </w:rP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w:t>
            </w:r>
            <w:proofErr w:type="gramEnd"/>
            <w:r w:rsidRPr="00292301">
              <w:rPr>
                <w:sz w:val="22"/>
                <w:szCs w:val="22"/>
              </w:rPr>
              <w:t xml:space="preserve"> чем за один период между </w:t>
            </w:r>
            <w:r w:rsidRPr="00292301">
              <w:rPr>
                <w:sz w:val="22"/>
                <w:szCs w:val="22"/>
              </w:rPr>
              <w:lastRenderedPageBreak/>
              <w:t xml:space="preserve">установленными договором сроками платежа, а для граждан-потребителей за 2 расчетных периода, либо к образованию задолженности потребителя перед </w:t>
            </w:r>
            <w:proofErr w:type="spellStart"/>
            <w:r w:rsidRPr="00292301">
              <w:rPr>
                <w:sz w:val="22"/>
                <w:szCs w:val="22"/>
              </w:rPr>
              <w:t>энергосбытовой</w:t>
            </w:r>
            <w:proofErr w:type="spellEnd"/>
            <w:r w:rsidRPr="00292301">
              <w:rPr>
                <w:sz w:val="22"/>
                <w:szCs w:val="22"/>
              </w:rPr>
              <w:t xml:space="preserve">, </w:t>
            </w:r>
            <w:proofErr w:type="spellStart"/>
            <w:r w:rsidRPr="00292301">
              <w:rPr>
                <w:sz w:val="22"/>
                <w:szCs w:val="22"/>
              </w:rPr>
              <w:t>энергоснабжающей</w:t>
            </w:r>
            <w:proofErr w:type="spellEnd"/>
            <w:r w:rsidRPr="00292301">
              <w:rPr>
                <w:sz w:val="22"/>
                <w:szCs w:val="22"/>
              </w:rPr>
              <w:t xml:space="preserve"> организацией или производителем электрической энергии (мощности) на розничном рынке, в размере, установленном в договоре;</w:t>
            </w:r>
          </w:p>
          <w:p w:rsidR="00ED0856" w:rsidRPr="00292301" w:rsidRDefault="00ED0856" w:rsidP="00682DC5">
            <w:pPr>
              <w:autoSpaceDE w:val="0"/>
              <w:autoSpaceDN w:val="0"/>
              <w:adjustRightInd w:val="0"/>
              <w:ind w:firstLine="539"/>
              <w:jc w:val="both"/>
              <w:rPr>
                <w:sz w:val="22"/>
                <w:szCs w:val="22"/>
              </w:rPr>
            </w:pPr>
            <w:proofErr w:type="gramStart"/>
            <w:r w:rsidRPr="00292301">
              <w:rPr>
                <w:sz w:val="22"/>
                <w:szCs w:val="22"/>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w:t>
            </w:r>
            <w:proofErr w:type="spellStart"/>
            <w:r w:rsidRPr="00292301">
              <w:rPr>
                <w:sz w:val="22"/>
                <w:szCs w:val="22"/>
              </w:rPr>
              <w:t>энергосбытовая</w:t>
            </w:r>
            <w:proofErr w:type="spellEnd"/>
            <w:r w:rsidRPr="00292301">
              <w:rPr>
                <w:sz w:val="22"/>
                <w:szCs w:val="22"/>
              </w:rPr>
              <w:t xml:space="preserve">, </w:t>
            </w:r>
            <w:proofErr w:type="spellStart"/>
            <w:r w:rsidRPr="00292301">
              <w:rPr>
                <w:sz w:val="22"/>
                <w:szCs w:val="22"/>
              </w:rPr>
              <w:t>энергоснабжающая</w:t>
            </w:r>
            <w:proofErr w:type="spellEnd"/>
            <w:r w:rsidRPr="00292301">
              <w:rPr>
                <w:sz w:val="22"/>
                <w:szCs w:val="22"/>
              </w:rPr>
              <w:t xml:space="preserve"> организация, которая в соответствии с Основными положениями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w:t>
            </w:r>
            <w:proofErr w:type="gramEnd"/>
            <w:r w:rsidRPr="00292301">
              <w:rPr>
                <w:sz w:val="22"/>
                <w:szCs w:val="22"/>
              </w:rPr>
              <w:t xml:space="preserve">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w:t>
            </w:r>
            <w:proofErr w:type="spellStart"/>
            <w:r w:rsidRPr="00292301">
              <w:rPr>
                <w:sz w:val="22"/>
                <w:szCs w:val="22"/>
              </w:rPr>
              <w:t>энергосбытовой</w:t>
            </w:r>
            <w:proofErr w:type="spellEnd"/>
            <w:r w:rsidRPr="00292301">
              <w:rPr>
                <w:sz w:val="22"/>
                <w:szCs w:val="22"/>
              </w:rPr>
              <w:t xml:space="preserve">, </w:t>
            </w:r>
            <w:proofErr w:type="spellStart"/>
            <w:r w:rsidRPr="00292301">
              <w:rPr>
                <w:sz w:val="22"/>
                <w:szCs w:val="22"/>
              </w:rPr>
              <w:t>энергоснабжающей</w:t>
            </w:r>
            <w:proofErr w:type="spellEnd"/>
            <w:r w:rsidRPr="00292301">
              <w:rPr>
                <w:sz w:val="22"/>
                <w:szCs w:val="22"/>
              </w:rPr>
              <w:t xml:space="preserve"> организацией);</w:t>
            </w:r>
          </w:p>
          <w:p w:rsidR="00ED0856" w:rsidRPr="00292301" w:rsidRDefault="00ED0856" w:rsidP="00682DC5">
            <w:pPr>
              <w:autoSpaceDE w:val="0"/>
              <w:autoSpaceDN w:val="0"/>
              <w:adjustRightInd w:val="0"/>
              <w:ind w:firstLine="539"/>
              <w:jc w:val="both"/>
              <w:rPr>
                <w:sz w:val="22"/>
                <w:szCs w:val="22"/>
              </w:rPr>
            </w:pPr>
            <w:proofErr w:type="gramStart"/>
            <w:r w:rsidRPr="00292301">
              <w:rPr>
                <w:sz w:val="22"/>
                <w:szCs w:val="22"/>
              </w:rPr>
              <w:t>выявлении</w:t>
            </w:r>
            <w:proofErr w:type="gramEnd"/>
            <w:r w:rsidRPr="00292301">
              <w:rPr>
                <w:sz w:val="22"/>
                <w:szCs w:val="22"/>
              </w:rPr>
              <w:t xml:space="preserve"> факта осуществления потребителем </w:t>
            </w:r>
            <w:proofErr w:type="spellStart"/>
            <w:r w:rsidRPr="00292301">
              <w:rPr>
                <w:sz w:val="22"/>
                <w:szCs w:val="22"/>
              </w:rPr>
              <w:t>безучетного</w:t>
            </w:r>
            <w:proofErr w:type="spellEnd"/>
            <w:r w:rsidRPr="00292301">
              <w:rPr>
                <w:sz w:val="22"/>
                <w:szCs w:val="22"/>
              </w:rPr>
              <w:t xml:space="preserve"> потребления электрической энергии;</w:t>
            </w:r>
          </w:p>
          <w:p w:rsidR="00ED0856" w:rsidRPr="00292301" w:rsidRDefault="00ED0856" w:rsidP="00682DC5">
            <w:pPr>
              <w:autoSpaceDE w:val="0"/>
              <w:autoSpaceDN w:val="0"/>
              <w:adjustRightInd w:val="0"/>
              <w:ind w:firstLine="539"/>
              <w:jc w:val="both"/>
              <w:rPr>
                <w:sz w:val="22"/>
                <w:szCs w:val="22"/>
              </w:rPr>
            </w:pPr>
            <w:proofErr w:type="gramStart"/>
            <w:r w:rsidRPr="00292301">
              <w:rPr>
                <w:sz w:val="22"/>
                <w:szCs w:val="22"/>
              </w:rPr>
              <w:t>невыполнении</w:t>
            </w:r>
            <w:proofErr w:type="gramEnd"/>
            <w:r w:rsidRPr="00292301">
              <w:rPr>
                <w:sz w:val="22"/>
                <w:szCs w:val="22"/>
              </w:rPr>
              <w:t xml:space="preserve">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ED0856" w:rsidRPr="00292301" w:rsidRDefault="00ED0856" w:rsidP="00682DC5">
            <w:pPr>
              <w:autoSpaceDE w:val="0"/>
              <w:autoSpaceDN w:val="0"/>
              <w:adjustRightInd w:val="0"/>
              <w:ind w:firstLine="539"/>
              <w:jc w:val="both"/>
              <w:rPr>
                <w:sz w:val="22"/>
                <w:szCs w:val="22"/>
              </w:rPr>
            </w:pPr>
            <w:proofErr w:type="gramStart"/>
            <w:r w:rsidRPr="00292301">
              <w:rPr>
                <w:sz w:val="22"/>
                <w:szCs w:val="22"/>
              </w:rPr>
              <w:t>подключении</w:t>
            </w:r>
            <w:proofErr w:type="gramEnd"/>
            <w:r w:rsidRPr="00292301">
              <w:rPr>
                <w:sz w:val="22"/>
                <w:szCs w:val="22"/>
              </w:rPr>
              <w:t xml:space="preserve"> потребителем к принадлежащим ему </w:t>
            </w:r>
            <w:proofErr w:type="spellStart"/>
            <w:r w:rsidRPr="00292301">
              <w:rPr>
                <w:sz w:val="22"/>
                <w:szCs w:val="22"/>
              </w:rPr>
              <w:t>энергопринимающим</w:t>
            </w:r>
            <w:proofErr w:type="spellEnd"/>
            <w:r w:rsidRPr="00292301">
              <w:rPr>
                <w:sz w:val="22"/>
                <w:szCs w:val="22"/>
              </w:rPr>
              <w:t xml:space="preserve"> устройствам </w:t>
            </w:r>
            <w:proofErr w:type="spellStart"/>
            <w:r w:rsidRPr="00292301">
              <w:rPr>
                <w:sz w:val="22"/>
                <w:szCs w:val="22"/>
              </w:rPr>
              <w:t>электропотребляющего</w:t>
            </w:r>
            <w:proofErr w:type="spellEnd"/>
            <w:r w:rsidRPr="00292301">
              <w:rPr>
                <w:sz w:val="22"/>
                <w:szCs w:val="22"/>
              </w:rPr>
              <w:t xml:space="preserve"> оборудования, повлекшем нарушение характеристик технологического присоединения, указанных в документах о технологическом присоединении;</w:t>
            </w:r>
          </w:p>
          <w:p w:rsidR="00ED0856" w:rsidRPr="00292301" w:rsidRDefault="00ED0856" w:rsidP="00682DC5">
            <w:pPr>
              <w:autoSpaceDE w:val="0"/>
              <w:autoSpaceDN w:val="0"/>
              <w:adjustRightInd w:val="0"/>
              <w:ind w:firstLine="539"/>
              <w:jc w:val="both"/>
              <w:rPr>
                <w:sz w:val="22"/>
                <w:szCs w:val="22"/>
              </w:rPr>
            </w:pPr>
            <w:r w:rsidRPr="00292301">
              <w:rPr>
                <w:sz w:val="22"/>
                <w:szCs w:val="22"/>
              </w:rPr>
              <w:t xml:space="preserve">в) удостоверение в установленном порядке неудовлетворительного состояния объектов </w:t>
            </w:r>
            <w:proofErr w:type="spellStart"/>
            <w:r w:rsidRPr="00292301">
              <w:rPr>
                <w:sz w:val="22"/>
                <w:szCs w:val="22"/>
              </w:rPr>
              <w:t>электросетевого</w:t>
            </w:r>
            <w:proofErr w:type="spellEnd"/>
            <w:r w:rsidRPr="00292301">
              <w:rPr>
                <w:sz w:val="22"/>
                <w:szCs w:val="22"/>
              </w:rPr>
              <w:t xml:space="preserve"> хозяйства, энергетических установок, </w:t>
            </w:r>
            <w:proofErr w:type="spellStart"/>
            <w:r w:rsidRPr="00292301">
              <w:rPr>
                <w:sz w:val="22"/>
                <w:szCs w:val="22"/>
              </w:rPr>
              <w:t>энергопринимающих</w:t>
            </w:r>
            <w:proofErr w:type="spellEnd"/>
            <w:r w:rsidRPr="00292301">
              <w:rPr>
                <w:sz w:val="22"/>
                <w:szCs w:val="22"/>
              </w:rPr>
              <w:t xml:space="preserve">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w:t>
            </w:r>
            <w:proofErr w:type="spellStart"/>
            <w:r w:rsidRPr="00292301">
              <w:rPr>
                <w:sz w:val="22"/>
                <w:szCs w:val="22"/>
              </w:rPr>
              <w:t>электросетевого</w:t>
            </w:r>
            <w:proofErr w:type="spellEnd"/>
            <w:r w:rsidRPr="00292301">
              <w:rPr>
                <w:sz w:val="22"/>
                <w:szCs w:val="22"/>
              </w:rPr>
              <w:t xml:space="preserve"> хозяйства сетевых организаций;</w:t>
            </w:r>
          </w:p>
          <w:p w:rsidR="00ED0856" w:rsidRPr="00292301" w:rsidRDefault="00ED0856" w:rsidP="00682DC5">
            <w:pPr>
              <w:autoSpaceDE w:val="0"/>
              <w:autoSpaceDN w:val="0"/>
              <w:adjustRightInd w:val="0"/>
              <w:ind w:firstLine="539"/>
              <w:jc w:val="both"/>
              <w:rPr>
                <w:sz w:val="22"/>
                <w:szCs w:val="22"/>
              </w:rPr>
            </w:pPr>
            <w:r w:rsidRPr="00292301">
              <w:rPr>
                <w:sz w:val="22"/>
                <w:szCs w:val="22"/>
              </w:rPr>
              <w:t>г) возникновение (угроза возникновения) аварийных электроэнергетических режимов;</w:t>
            </w:r>
          </w:p>
          <w:p w:rsidR="00ED0856" w:rsidRPr="00292301" w:rsidRDefault="00ED0856" w:rsidP="00682DC5">
            <w:pPr>
              <w:autoSpaceDE w:val="0"/>
              <w:autoSpaceDN w:val="0"/>
              <w:adjustRightInd w:val="0"/>
              <w:ind w:firstLine="539"/>
              <w:jc w:val="both"/>
              <w:rPr>
                <w:sz w:val="22"/>
                <w:szCs w:val="22"/>
              </w:rPr>
            </w:pPr>
            <w:proofErr w:type="spellStart"/>
            <w:r w:rsidRPr="00292301">
              <w:rPr>
                <w:sz w:val="22"/>
                <w:szCs w:val="22"/>
              </w:rPr>
              <w:t>д</w:t>
            </w:r>
            <w:proofErr w:type="spellEnd"/>
            <w:r w:rsidRPr="00292301">
              <w:rPr>
                <w:sz w:val="22"/>
                <w:szCs w:val="22"/>
              </w:rPr>
              <w:t>)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ED0856" w:rsidRPr="00292301" w:rsidRDefault="00ED0856" w:rsidP="00682DC5">
            <w:pPr>
              <w:autoSpaceDE w:val="0"/>
              <w:autoSpaceDN w:val="0"/>
              <w:adjustRightInd w:val="0"/>
              <w:ind w:firstLine="539"/>
              <w:jc w:val="both"/>
              <w:rPr>
                <w:sz w:val="22"/>
                <w:szCs w:val="22"/>
              </w:rPr>
            </w:pPr>
            <w:proofErr w:type="gramStart"/>
            <w:r w:rsidRPr="00292301">
              <w:rPr>
                <w:sz w:val="22"/>
                <w:szCs w:val="22"/>
              </w:rPr>
              <w:t xml:space="preserve">е) прекращение обязательств по снабжению электрической энергией (мощностью) и (или) оказанию услуг по передаче электрической энергии в отношении </w:t>
            </w:r>
            <w:proofErr w:type="spellStart"/>
            <w:r w:rsidRPr="00292301">
              <w:rPr>
                <w:sz w:val="22"/>
                <w:szCs w:val="22"/>
              </w:rPr>
              <w:t>энергопринимающих</w:t>
            </w:r>
            <w:proofErr w:type="spellEnd"/>
            <w:r w:rsidRPr="00292301">
              <w:rPr>
                <w:sz w:val="22"/>
                <w:szCs w:val="22"/>
              </w:rPr>
              <w:t xml:space="preserve">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w:t>
            </w:r>
            <w:proofErr w:type="spellStart"/>
            <w:r w:rsidRPr="00292301">
              <w:rPr>
                <w:sz w:val="22"/>
                <w:szCs w:val="22"/>
              </w:rPr>
              <w:t>электросетевого</w:t>
            </w:r>
            <w:proofErr w:type="spellEnd"/>
            <w:r w:rsidRPr="00292301">
              <w:rPr>
                <w:sz w:val="22"/>
                <w:szCs w:val="22"/>
              </w:rPr>
              <w:t xml:space="preserve"> хозяйства, к которым технологически присоединены такие</w:t>
            </w:r>
            <w:proofErr w:type="gramEnd"/>
            <w:r w:rsidRPr="00292301">
              <w:rPr>
                <w:sz w:val="22"/>
                <w:szCs w:val="22"/>
              </w:rPr>
              <w:t xml:space="preserve"> </w:t>
            </w:r>
            <w:proofErr w:type="spellStart"/>
            <w:r w:rsidRPr="00292301">
              <w:rPr>
                <w:sz w:val="22"/>
                <w:szCs w:val="22"/>
              </w:rPr>
              <w:t>энергопринимающие</w:t>
            </w:r>
            <w:proofErr w:type="spellEnd"/>
            <w:r w:rsidRPr="00292301">
              <w:rPr>
                <w:sz w:val="22"/>
                <w:szCs w:val="22"/>
              </w:rPr>
              <w:t xml:space="preserve"> устройства, если при этом в отношении таких </w:t>
            </w:r>
            <w:proofErr w:type="spellStart"/>
            <w:r w:rsidRPr="00292301">
              <w:rPr>
                <w:sz w:val="22"/>
                <w:szCs w:val="22"/>
              </w:rPr>
              <w:t>энергопринимающих</w:t>
            </w:r>
            <w:proofErr w:type="spellEnd"/>
            <w:r w:rsidRPr="00292301">
              <w:rPr>
                <w:sz w:val="22"/>
                <w:szCs w:val="22"/>
              </w:rPr>
              <w:t xml:space="preserve">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ED0856" w:rsidRPr="00292301" w:rsidRDefault="00ED0856" w:rsidP="00682DC5">
            <w:pPr>
              <w:autoSpaceDE w:val="0"/>
              <w:autoSpaceDN w:val="0"/>
              <w:adjustRightInd w:val="0"/>
              <w:ind w:firstLine="539"/>
              <w:jc w:val="both"/>
              <w:rPr>
                <w:sz w:val="22"/>
                <w:szCs w:val="22"/>
              </w:rPr>
            </w:pPr>
            <w:r w:rsidRPr="00292301">
              <w:rPr>
                <w:sz w:val="22"/>
                <w:szCs w:val="22"/>
              </w:rPr>
              <w:t xml:space="preserve">ж) выявление гарантирующим поставщиком в случае, указанном в </w:t>
            </w:r>
            <w:hyperlink r:id="rId25" w:history="1">
              <w:r w:rsidRPr="00292301">
                <w:rPr>
                  <w:color w:val="0000FF"/>
                  <w:sz w:val="22"/>
                  <w:szCs w:val="22"/>
                </w:rPr>
                <w:t>пункте 47</w:t>
              </w:r>
            </w:hyperlink>
            <w:r w:rsidRPr="00292301">
              <w:rPr>
                <w:sz w:val="22"/>
                <w:szCs w:val="22"/>
              </w:rPr>
              <w:t xml:space="preserve"> Основных положений, факта ненадлежащего технологического присоединения </w:t>
            </w:r>
            <w:proofErr w:type="spellStart"/>
            <w:r w:rsidRPr="00292301">
              <w:rPr>
                <w:sz w:val="22"/>
                <w:szCs w:val="22"/>
              </w:rPr>
              <w:t>энергопринимающих</w:t>
            </w:r>
            <w:proofErr w:type="spellEnd"/>
            <w:r w:rsidRPr="00292301">
              <w:rPr>
                <w:sz w:val="22"/>
                <w:szCs w:val="22"/>
              </w:rPr>
              <w:t xml:space="preserve"> устройств потребителя к объектам </w:t>
            </w:r>
            <w:proofErr w:type="spellStart"/>
            <w:r w:rsidRPr="00292301">
              <w:rPr>
                <w:sz w:val="22"/>
                <w:szCs w:val="22"/>
              </w:rPr>
              <w:t>электросетевого</w:t>
            </w:r>
            <w:proofErr w:type="spellEnd"/>
            <w:r w:rsidRPr="00292301">
              <w:rPr>
                <w:sz w:val="22"/>
                <w:szCs w:val="22"/>
              </w:rPr>
              <w:t xml:space="preserve"> хозяйства;</w:t>
            </w:r>
          </w:p>
          <w:p w:rsidR="00ED0856" w:rsidRPr="00292301" w:rsidRDefault="00ED0856" w:rsidP="00682DC5">
            <w:pPr>
              <w:autoSpaceDE w:val="0"/>
              <w:autoSpaceDN w:val="0"/>
              <w:adjustRightInd w:val="0"/>
              <w:ind w:firstLine="539"/>
              <w:jc w:val="both"/>
              <w:rPr>
                <w:sz w:val="22"/>
                <w:szCs w:val="22"/>
              </w:rPr>
            </w:pPr>
            <w:proofErr w:type="spellStart"/>
            <w:r w:rsidRPr="00292301">
              <w:rPr>
                <w:sz w:val="22"/>
                <w:szCs w:val="22"/>
              </w:rPr>
              <w:t>з</w:t>
            </w:r>
            <w:proofErr w:type="spellEnd"/>
            <w:r w:rsidRPr="00292301">
              <w:rPr>
                <w:sz w:val="22"/>
                <w:szCs w:val="22"/>
              </w:rPr>
              <w:t xml:space="preserve">) необходимость проведения ремонтных работ на объектах </w:t>
            </w:r>
            <w:proofErr w:type="spellStart"/>
            <w:r w:rsidRPr="00292301">
              <w:rPr>
                <w:sz w:val="22"/>
                <w:szCs w:val="22"/>
              </w:rPr>
              <w:t>электросетевого</w:t>
            </w:r>
            <w:proofErr w:type="spellEnd"/>
            <w:r w:rsidRPr="00292301">
              <w:rPr>
                <w:sz w:val="22"/>
                <w:szCs w:val="22"/>
              </w:rPr>
              <w:t xml:space="preserve"> хозяйства сетевой организации, к которым присоединены </w:t>
            </w:r>
            <w:proofErr w:type="spellStart"/>
            <w:r w:rsidRPr="00292301">
              <w:rPr>
                <w:sz w:val="22"/>
                <w:szCs w:val="22"/>
              </w:rPr>
              <w:t>энергопринимающие</w:t>
            </w:r>
            <w:proofErr w:type="spellEnd"/>
            <w:r w:rsidRPr="00292301">
              <w:rPr>
                <w:sz w:val="22"/>
                <w:szCs w:val="22"/>
              </w:rPr>
              <w:t xml:space="preserve"> устройства потребителя, либо необходимость проведения ремонтных работ на объектах </w:t>
            </w:r>
            <w:proofErr w:type="spellStart"/>
            <w:r w:rsidRPr="00292301">
              <w:rPr>
                <w:sz w:val="22"/>
                <w:szCs w:val="22"/>
              </w:rPr>
              <w:t>электросетевого</w:t>
            </w:r>
            <w:proofErr w:type="spellEnd"/>
            <w:r w:rsidRPr="00292301">
              <w:rPr>
                <w:sz w:val="22"/>
                <w:szCs w:val="22"/>
              </w:rPr>
              <w:t xml:space="preserve"> хозяйства смежных сетевых организаций (иных владельцев объектов </w:t>
            </w:r>
            <w:proofErr w:type="spellStart"/>
            <w:r w:rsidRPr="00292301">
              <w:rPr>
                <w:sz w:val="22"/>
                <w:szCs w:val="22"/>
              </w:rPr>
              <w:t>электросетевого</w:t>
            </w:r>
            <w:proofErr w:type="spellEnd"/>
            <w:r w:rsidRPr="00292301">
              <w:rPr>
                <w:sz w:val="22"/>
                <w:szCs w:val="22"/>
              </w:rPr>
              <w:t xml:space="preserve"> хозяйства) в случае, если проведение таких работ невозможно без ограничения режима потребления;</w:t>
            </w:r>
          </w:p>
          <w:p w:rsidR="00ED0856" w:rsidRPr="00292301" w:rsidRDefault="00ED0856" w:rsidP="00682DC5">
            <w:pPr>
              <w:autoSpaceDE w:val="0"/>
              <w:autoSpaceDN w:val="0"/>
              <w:adjustRightInd w:val="0"/>
              <w:ind w:firstLine="539"/>
              <w:jc w:val="both"/>
              <w:rPr>
                <w:sz w:val="22"/>
                <w:szCs w:val="22"/>
              </w:rPr>
            </w:pPr>
            <w:r w:rsidRPr="00292301">
              <w:rPr>
                <w:sz w:val="22"/>
                <w:szCs w:val="22"/>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ED0856" w:rsidRDefault="00ED0856" w:rsidP="00682DC5">
            <w:pPr>
              <w:autoSpaceDE w:val="0"/>
              <w:autoSpaceDN w:val="0"/>
              <w:adjustRightInd w:val="0"/>
              <w:ind w:firstLine="539"/>
              <w:jc w:val="both"/>
            </w:pPr>
            <w:r w:rsidRPr="00292301">
              <w:t>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tc>
      </w:tr>
    </w:tbl>
    <w:p w:rsidR="00902A18" w:rsidRPr="00ED0856" w:rsidRDefault="00902A18" w:rsidP="000A3E6F">
      <w:pPr>
        <w:autoSpaceDE w:val="0"/>
        <w:autoSpaceDN w:val="0"/>
        <w:adjustRightInd w:val="0"/>
        <w:ind w:firstLine="540"/>
        <w:jc w:val="both"/>
        <w:rPr>
          <w:sz w:val="22"/>
          <w:szCs w:val="22"/>
        </w:rPr>
      </w:pPr>
    </w:p>
    <w:p w:rsidR="00902A18" w:rsidRPr="00ED0856" w:rsidRDefault="00902A18" w:rsidP="000A3E6F">
      <w:pPr>
        <w:autoSpaceDE w:val="0"/>
        <w:autoSpaceDN w:val="0"/>
        <w:adjustRightInd w:val="0"/>
        <w:ind w:firstLine="540"/>
        <w:jc w:val="both"/>
        <w:rPr>
          <w:sz w:val="22"/>
          <w:szCs w:val="22"/>
        </w:rPr>
      </w:pPr>
    </w:p>
    <w:p w:rsidR="00ED0856" w:rsidRPr="00ED0856" w:rsidRDefault="00ED0856" w:rsidP="000A3E6F">
      <w:pPr>
        <w:autoSpaceDE w:val="0"/>
        <w:autoSpaceDN w:val="0"/>
        <w:adjustRightInd w:val="0"/>
        <w:ind w:firstLine="540"/>
        <w:jc w:val="both"/>
        <w:rPr>
          <w:sz w:val="22"/>
          <w:szCs w:val="22"/>
        </w:rPr>
      </w:pPr>
    </w:p>
    <w:sectPr w:rsidR="00ED0856" w:rsidRPr="00ED0856" w:rsidSect="00A53B12">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3"/>
    <w:multiLevelType w:val="hybridMultilevel"/>
    <w:tmpl w:val="D2163432"/>
    <w:lvl w:ilvl="0" w:tplc="E60031FA">
      <w:start w:val="5"/>
      <w:numFmt w:val="decimal"/>
      <w:lvlText w:val="%1."/>
      <w:lvlJc w:val="left"/>
      <w:pPr>
        <w:ind w:left="4755"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B2058D5"/>
    <w:multiLevelType w:val="hybridMultilevel"/>
    <w:tmpl w:val="8018A554"/>
    <w:lvl w:ilvl="0" w:tplc="4392A522">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3C316687"/>
    <w:multiLevelType w:val="hybridMultilevel"/>
    <w:tmpl w:val="F29AA5C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7A58447C"/>
    <w:multiLevelType w:val="hybridMultilevel"/>
    <w:tmpl w:val="0F0CC5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CB4657F"/>
    <w:multiLevelType w:val="hybridMultilevel"/>
    <w:tmpl w:val="DA38442C"/>
    <w:lvl w:ilvl="0" w:tplc="8940F9C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80220"/>
    <w:rsid w:val="00007B31"/>
    <w:rsid w:val="000102E0"/>
    <w:rsid w:val="00037571"/>
    <w:rsid w:val="00047520"/>
    <w:rsid w:val="0009201D"/>
    <w:rsid w:val="000A3E6F"/>
    <w:rsid w:val="000C7ACC"/>
    <w:rsid w:val="000D3888"/>
    <w:rsid w:val="000E2291"/>
    <w:rsid w:val="000F34A8"/>
    <w:rsid w:val="001036DF"/>
    <w:rsid w:val="00105753"/>
    <w:rsid w:val="00146BD6"/>
    <w:rsid w:val="00147B19"/>
    <w:rsid w:val="0015625F"/>
    <w:rsid w:val="0017784C"/>
    <w:rsid w:val="001823F7"/>
    <w:rsid w:val="00183DBE"/>
    <w:rsid w:val="00187874"/>
    <w:rsid w:val="001A0015"/>
    <w:rsid w:val="001A2F37"/>
    <w:rsid w:val="001A7A94"/>
    <w:rsid w:val="001E4CA3"/>
    <w:rsid w:val="001E639C"/>
    <w:rsid w:val="002100EF"/>
    <w:rsid w:val="00223A2B"/>
    <w:rsid w:val="002601EF"/>
    <w:rsid w:val="002674FD"/>
    <w:rsid w:val="002A18B4"/>
    <w:rsid w:val="002C1236"/>
    <w:rsid w:val="002D157E"/>
    <w:rsid w:val="002E0BEF"/>
    <w:rsid w:val="002E13BF"/>
    <w:rsid w:val="002F425A"/>
    <w:rsid w:val="00303D5C"/>
    <w:rsid w:val="00311751"/>
    <w:rsid w:val="0033487A"/>
    <w:rsid w:val="00335757"/>
    <w:rsid w:val="00351E21"/>
    <w:rsid w:val="00355165"/>
    <w:rsid w:val="00355957"/>
    <w:rsid w:val="00380F64"/>
    <w:rsid w:val="003B5BC7"/>
    <w:rsid w:val="003C239F"/>
    <w:rsid w:val="003C5548"/>
    <w:rsid w:val="003D2D0E"/>
    <w:rsid w:val="003E36E4"/>
    <w:rsid w:val="003E6A25"/>
    <w:rsid w:val="003F07F6"/>
    <w:rsid w:val="00404992"/>
    <w:rsid w:val="004119C5"/>
    <w:rsid w:val="00421674"/>
    <w:rsid w:val="00422649"/>
    <w:rsid w:val="0043546A"/>
    <w:rsid w:val="00462E77"/>
    <w:rsid w:val="00467AF0"/>
    <w:rsid w:val="00470180"/>
    <w:rsid w:val="004A29A5"/>
    <w:rsid w:val="004B1076"/>
    <w:rsid w:val="004B1B4B"/>
    <w:rsid w:val="004B587A"/>
    <w:rsid w:val="004E4E1C"/>
    <w:rsid w:val="00511A40"/>
    <w:rsid w:val="0051211E"/>
    <w:rsid w:val="00517B5E"/>
    <w:rsid w:val="005426E1"/>
    <w:rsid w:val="00571B75"/>
    <w:rsid w:val="0057256B"/>
    <w:rsid w:val="005725BE"/>
    <w:rsid w:val="00586C34"/>
    <w:rsid w:val="00590D29"/>
    <w:rsid w:val="005B4357"/>
    <w:rsid w:val="005D5D2D"/>
    <w:rsid w:val="005E24CA"/>
    <w:rsid w:val="005E7628"/>
    <w:rsid w:val="006161B4"/>
    <w:rsid w:val="00632877"/>
    <w:rsid w:val="00651756"/>
    <w:rsid w:val="006538AB"/>
    <w:rsid w:val="00654E9D"/>
    <w:rsid w:val="00682DC5"/>
    <w:rsid w:val="006B5339"/>
    <w:rsid w:val="006C3A1B"/>
    <w:rsid w:val="006E45F9"/>
    <w:rsid w:val="006E623A"/>
    <w:rsid w:val="00707DEB"/>
    <w:rsid w:val="00733F75"/>
    <w:rsid w:val="007466FC"/>
    <w:rsid w:val="007674A0"/>
    <w:rsid w:val="00774240"/>
    <w:rsid w:val="007A3C59"/>
    <w:rsid w:val="007A6091"/>
    <w:rsid w:val="007B69FF"/>
    <w:rsid w:val="007D1B8D"/>
    <w:rsid w:val="007F16E3"/>
    <w:rsid w:val="007F274A"/>
    <w:rsid w:val="00803CFF"/>
    <w:rsid w:val="0080766A"/>
    <w:rsid w:val="00807B9A"/>
    <w:rsid w:val="00810893"/>
    <w:rsid w:val="00853EE0"/>
    <w:rsid w:val="008635D5"/>
    <w:rsid w:val="0089209E"/>
    <w:rsid w:val="008A094F"/>
    <w:rsid w:val="008B02BA"/>
    <w:rsid w:val="008D4D56"/>
    <w:rsid w:val="00900A66"/>
    <w:rsid w:val="00900CEE"/>
    <w:rsid w:val="00902A18"/>
    <w:rsid w:val="00916278"/>
    <w:rsid w:val="009169A1"/>
    <w:rsid w:val="009717F6"/>
    <w:rsid w:val="00981C65"/>
    <w:rsid w:val="00993624"/>
    <w:rsid w:val="009F7D4E"/>
    <w:rsid w:val="00A01EDC"/>
    <w:rsid w:val="00A20FAA"/>
    <w:rsid w:val="00A53B12"/>
    <w:rsid w:val="00A64B7C"/>
    <w:rsid w:val="00A66EBB"/>
    <w:rsid w:val="00A72DE1"/>
    <w:rsid w:val="00AB1353"/>
    <w:rsid w:val="00AD2B80"/>
    <w:rsid w:val="00AF2A88"/>
    <w:rsid w:val="00B17923"/>
    <w:rsid w:val="00B2061D"/>
    <w:rsid w:val="00B52F50"/>
    <w:rsid w:val="00B63AD6"/>
    <w:rsid w:val="00B66C12"/>
    <w:rsid w:val="00B80220"/>
    <w:rsid w:val="00B91645"/>
    <w:rsid w:val="00BB5A6F"/>
    <w:rsid w:val="00BC6BF1"/>
    <w:rsid w:val="00BF56A1"/>
    <w:rsid w:val="00C33720"/>
    <w:rsid w:val="00C5073E"/>
    <w:rsid w:val="00C63A3F"/>
    <w:rsid w:val="00C829E6"/>
    <w:rsid w:val="00C84321"/>
    <w:rsid w:val="00CC4FB2"/>
    <w:rsid w:val="00CC77AB"/>
    <w:rsid w:val="00CF4306"/>
    <w:rsid w:val="00CF6575"/>
    <w:rsid w:val="00D05481"/>
    <w:rsid w:val="00D10A99"/>
    <w:rsid w:val="00D16A74"/>
    <w:rsid w:val="00D42BFB"/>
    <w:rsid w:val="00D44B74"/>
    <w:rsid w:val="00D44D06"/>
    <w:rsid w:val="00D51418"/>
    <w:rsid w:val="00D74715"/>
    <w:rsid w:val="00DB429C"/>
    <w:rsid w:val="00DB720A"/>
    <w:rsid w:val="00DE5F29"/>
    <w:rsid w:val="00DF7A5A"/>
    <w:rsid w:val="00E040ED"/>
    <w:rsid w:val="00E06A9A"/>
    <w:rsid w:val="00E25825"/>
    <w:rsid w:val="00E47FB3"/>
    <w:rsid w:val="00E5721F"/>
    <w:rsid w:val="00EA5029"/>
    <w:rsid w:val="00ED0856"/>
    <w:rsid w:val="00EE5792"/>
    <w:rsid w:val="00F049F3"/>
    <w:rsid w:val="00F157C2"/>
    <w:rsid w:val="00F20018"/>
    <w:rsid w:val="00F25853"/>
    <w:rsid w:val="00F570EC"/>
    <w:rsid w:val="00F810D2"/>
    <w:rsid w:val="00F93CF9"/>
    <w:rsid w:val="00FB277F"/>
    <w:rsid w:val="00FC205D"/>
    <w:rsid w:val="00FC2155"/>
    <w:rsid w:val="00FF2578"/>
    <w:rsid w:val="00FF7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2F50"/>
    <w:rPr>
      <w:color w:val="0000FF"/>
      <w:u w:val="single"/>
    </w:rPr>
  </w:style>
  <w:style w:type="table" w:styleId="a4">
    <w:name w:val="Table Grid"/>
    <w:basedOn w:val="a1"/>
    <w:uiPriority w:val="59"/>
    <w:rsid w:val="00B52F5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AB1353"/>
    <w:pPr>
      <w:jc w:val="both"/>
    </w:pPr>
  </w:style>
  <w:style w:type="character" w:customStyle="1" w:styleId="20">
    <w:name w:val="Основной текст 2 Знак"/>
    <w:basedOn w:val="a0"/>
    <w:link w:val="2"/>
    <w:rsid w:val="00AB1353"/>
    <w:rPr>
      <w:rFonts w:ascii="Times New Roman" w:eastAsia="Times New Roman" w:hAnsi="Times New Roman"/>
      <w:sz w:val="24"/>
      <w:szCs w:val="24"/>
    </w:rPr>
  </w:style>
  <w:style w:type="paragraph" w:customStyle="1" w:styleId="ConsPlusCell">
    <w:name w:val="ConsPlusCell"/>
    <w:uiPriority w:val="99"/>
    <w:rsid w:val="002D157E"/>
    <w:pPr>
      <w:widowControl w:val="0"/>
      <w:autoSpaceDE w:val="0"/>
      <w:autoSpaceDN w:val="0"/>
      <w:adjustRightInd w:val="0"/>
    </w:pPr>
    <w:rPr>
      <w:rFonts w:eastAsia="Times New Roman" w:cs="Calibri"/>
      <w:sz w:val="22"/>
      <w:szCs w:val="22"/>
    </w:rPr>
  </w:style>
  <w:style w:type="paragraph" w:customStyle="1" w:styleId="ConsPlusNormal">
    <w:name w:val="ConsPlusNormal"/>
    <w:rsid w:val="001E639C"/>
    <w:pPr>
      <w:autoSpaceDE w:val="0"/>
      <w:autoSpaceDN w:val="0"/>
      <w:adjustRightInd w:val="0"/>
    </w:pPr>
    <w:rPr>
      <w:rFonts w:ascii="Arial" w:hAnsi="Arial" w:cs="Arial"/>
      <w:lang w:eastAsia="en-US"/>
    </w:rPr>
  </w:style>
  <w:style w:type="paragraph" w:styleId="21">
    <w:name w:val="Body Text Indent 2"/>
    <w:basedOn w:val="a"/>
    <w:link w:val="22"/>
    <w:uiPriority w:val="99"/>
    <w:semiHidden/>
    <w:unhideWhenUsed/>
    <w:rsid w:val="00CC4FB2"/>
    <w:pPr>
      <w:spacing w:after="120" w:line="480" w:lineRule="auto"/>
      <w:ind w:left="283"/>
    </w:pPr>
  </w:style>
  <w:style w:type="character" w:customStyle="1" w:styleId="22">
    <w:name w:val="Основной текст с отступом 2 Знак"/>
    <w:basedOn w:val="a0"/>
    <w:link w:val="21"/>
    <w:uiPriority w:val="99"/>
    <w:semiHidden/>
    <w:rsid w:val="00CC4FB2"/>
    <w:rPr>
      <w:rFonts w:ascii="Times New Roman" w:eastAsia="Times New Roman" w:hAnsi="Times New Roman"/>
      <w:sz w:val="24"/>
      <w:szCs w:val="24"/>
    </w:rPr>
  </w:style>
  <w:style w:type="character" w:styleId="a5">
    <w:name w:val="FollowedHyperlink"/>
    <w:basedOn w:val="a0"/>
    <w:uiPriority w:val="99"/>
    <w:semiHidden/>
    <w:unhideWhenUsed/>
    <w:rsid w:val="007D1B8D"/>
    <w:rPr>
      <w:color w:val="800080" w:themeColor="followedHyperlink"/>
      <w:u w:val="single"/>
    </w:rPr>
  </w:style>
  <w:style w:type="paragraph" w:customStyle="1" w:styleId="ConsPlusTitle">
    <w:name w:val="ConsPlusTitle"/>
    <w:rsid w:val="00105753"/>
    <w:pPr>
      <w:widowControl w:val="0"/>
      <w:autoSpaceDE w:val="0"/>
      <w:autoSpaceDN w:val="0"/>
    </w:pPr>
    <w:rPr>
      <w:rFonts w:eastAsia="Times New Roman" w:cs="Calibri"/>
      <w:b/>
      <w:sz w:val="22"/>
    </w:rPr>
  </w:style>
  <w:style w:type="paragraph" w:styleId="a6">
    <w:name w:val="Balloon Text"/>
    <w:basedOn w:val="a"/>
    <w:link w:val="a7"/>
    <w:uiPriority w:val="99"/>
    <w:semiHidden/>
    <w:unhideWhenUsed/>
    <w:rsid w:val="00105753"/>
    <w:rPr>
      <w:rFonts w:ascii="Tahoma" w:hAnsi="Tahoma" w:cs="Tahoma"/>
      <w:sz w:val="16"/>
      <w:szCs w:val="16"/>
    </w:rPr>
  </w:style>
  <w:style w:type="character" w:customStyle="1" w:styleId="a7">
    <w:name w:val="Текст выноски Знак"/>
    <w:basedOn w:val="a0"/>
    <w:link w:val="a6"/>
    <w:uiPriority w:val="99"/>
    <w:semiHidden/>
    <w:rsid w:val="00105753"/>
    <w:rPr>
      <w:rFonts w:ascii="Tahoma" w:eastAsia="Times New Roman" w:hAnsi="Tahoma" w:cs="Tahoma"/>
      <w:sz w:val="16"/>
      <w:szCs w:val="16"/>
    </w:rPr>
  </w:style>
  <w:style w:type="paragraph" w:styleId="a8">
    <w:name w:val="Normal (Web)"/>
    <w:basedOn w:val="a"/>
    <w:uiPriority w:val="99"/>
    <w:semiHidden/>
    <w:unhideWhenUsed/>
    <w:rsid w:val="002A18B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5388521">
      <w:bodyDiv w:val="1"/>
      <w:marLeft w:val="0"/>
      <w:marRight w:val="0"/>
      <w:marTop w:val="0"/>
      <w:marBottom w:val="0"/>
      <w:divBdr>
        <w:top w:val="none" w:sz="0" w:space="0" w:color="auto"/>
        <w:left w:val="none" w:sz="0" w:space="0" w:color="auto"/>
        <w:bottom w:val="none" w:sz="0" w:space="0" w:color="auto"/>
        <w:right w:val="none" w:sz="0" w:space="0" w:color="auto"/>
      </w:divBdr>
    </w:div>
    <w:div w:id="195705967">
      <w:bodyDiv w:val="1"/>
      <w:marLeft w:val="0"/>
      <w:marRight w:val="0"/>
      <w:marTop w:val="0"/>
      <w:marBottom w:val="0"/>
      <w:divBdr>
        <w:top w:val="none" w:sz="0" w:space="0" w:color="auto"/>
        <w:left w:val="none" w:sz="0" w:space="0" w:color="auto"/>
        <w:bottom w:val="none" w:sz="0" w:space="0" w:color="auto"/>
        <w:right w:val="none" w:sz="0" w:space="0" w:color="auto"/>
      </w:divBdr>
    </w:div>
    <w:div w:id="464591056">
      <w:bodyDiv w:val="1"/>
      <w:marLeft w:val="0"/>
      <w:marRight w:val="0"/>
      <w:marTop w:val="0"/>
      <w:marBottom w:val="0"/>
      <w:divBdr>
        <w:top w:val="none" w:sz="0" w:space="0" w:color="auto"/>
        <w:left w:val="none" w:sz="0" w:space="0" w:color="auto"/>
        <w:bottom w:val="none" w:sz="0" w:space="0" w:color="auto"/>
        <w:right w:val="none" w:sz="0" w:space="0" w:color="auto"/>
      </w:divBdr>
    </w:div>
    <w:div w:id="490215464">
      <w:bodyDiv w:val="1"/>
      <w:marLeft w:val="0"/>
      <w:marRight w:val="0"/>
      <w:marTop w:val="0"/>
      <w:marBottom w:val="0"/>
      <w:divBdr>
        <w:top w:val="none" w:sz="0" w:space="0" w:color="auto"/>
        <w:left w:val="none" w:sz="0" w:space="0" w:color="auto"/>
        <w:bottom w:val="none" w:sz="0" w:space="0" w:color="auto"/>
        <w:right w:val="none" w:sz="0" w:space="0" w:color="auto"/>
      </w:divBdr>
    </w:div>
    <w:div w:id="593899218">
      <w:bodyDiv w:val="1"/>
      <w:marLeft w:val="0"/>
      <w:marRight w:val="0"/>
      <w:marTop w:val="0"/>
      <w:marBottom w:val="0"/>
      <w:divBdr>
        <w:top w:val="none" w:sz="0" w:space="0" w:color="auto"/>
        <w:left w:val="none" w:sz="0" w:space="0" w:color="auto"/>
        <w:bottom w:val="none" w:sz="0" w:space="0" w:color="auto"/>
        <w:right w:val="none" w:sz="0" w:space="0" w:color="auto"/>
      </w:divBdr>
    </w:div>
    <w:div w:id="695010225">
      <w:bodyDiv w:val="1"/>
      <w:marLeft w:val="0"/>
      <w:marRight w:val="0"/>
      <w:marTop w:val="0"/>
      <w:marBottom w:val="0"/>
      <w:divBdr>
        <w:top w:val="none" w:sz="0" w:space="0" w:color="auto"/>
        <w:left w:val="none" w:sz="0" w:space="0" w:color="auto"/>
        <w:bottom w:val="none" w:sz="0" w:space="0" w:color="auto"/>
        <w:right w:val="none" w:sz="0" w:space="0" w:color="auto"/>
      </w:divBdr>
    </w:div>
    <w:div w:id="829180033">
      <w:bodyDiv w:val="1"/>
      <w:marLeft w:val="0"/>
      <w:marRight w:val="0"/>
      <w:marTop w:val="0"/>
      <w:marBottom w:val="0"/>
      <w:divBdr>
        <w:top w:val="none" w:sz="0" w:space="0" w:color="auto"/>
        <w:left w:val="none" w:sz="0" w:space="0" w:color="auto"/>
        <w:bottom w:val="none" w:sz="0" w:space="0" w:color="auto"/>
        <w:right w:val="none" w:sz="0" w:space="0" w:color="auto"/>
      </w:divBdr>
    </w:div>
    <w:div w:id="961224433">
      <w:bodyDiv w:val="1"/>
      <w:marLeft w:val="0"/>
      <w:marRight w:val="0"/>
      <w:marTop w:val="0"/>
      <w:marBottom w:val="0"/>
      <w:divBdr>
        <w:top w:val="none" w:sz="0" w:space="0" w:color="auto"/>
        <w:left w:val="none" w:sz="0" w:space="0" w:color="auto"/>
        <w:bottom w:val="none" w:sz="0" w:space="0" w:color="auto"/>
        <w:right w:val="none" w:sz="0" w:space="0" w:color="auto"/>
      </w:divBdr>
    </w:div>
    <w:div w:id="1057901453">
      <w:bodyDiv w:val="1"/>
      <w:marLeft w:val="0"/>
      <w:marRight w:val="0"/>
      <w:marTop w:val="0"/>
      <w:marBottom w:val="0"/>
      <w:divBdr>
        <w:top w:val="none" w:sz="0" w:space="0" w:color="auto"/>
        <w:left w:val="none" w:sz="0" w:space="0" w:color="auto"/>
        <w:bottom w:val="none" w:sz="0" w:space="0" w:color="auto"/>
        <w:right w:val="none" w:sz="0" w:space="0" w:color="auto"/>
      </w:divBdr>
    </w:div>
    <w:div w:id="1383751055">
      <w:bodyDiv w:val="1"/>
      <w:marLeft w:val="0"/>
      <w:marRight w:val="0"/>
      <w:marTop w:val="0"/>
      <w:marBottom w:val="0"/>
      <w:divBdr>
        <w:top w:val="none" w:sz="0" w:space="0" w:color="auto"/>
        <w:left w:val="none" w:sz="0" w:space="0" w:color="auto"/>
        <w:bottom w:val="none" w:sz="0" w:space="0" w:color="auto"/>
        <w:right w:val="none" w:sz="0" w:space="0" w:color="auto"/>
      </w:divBdr>
    </w:div>
    <w:div w:id="1624799884">
      <w:bodyDiv w:val="1"/>
      <w:marLeft w:val="0"/>
      <w:marRight w:val="0"/>
      <w:marTop w:val="0"/>
      <w:marBottom w:val="0"/>
      <w:divBdr>
        <w:top w:val="none" w:sz="0" w:space="0" w:color="auto"/>
        <w:left w:val="none" w:sz="0" w:space="0" w:color="auto"/>
        <w:bottom w:val="none" w:sz="0" w:space="0" w:color="auto"/>
        <w:right w:val="none" w:sz="0" w:space="0" w:color="auto"/>
      </w:divBdr>
    </w:div>
    <w:div w:id="1672677776">
      <w:bodyDiv w:val="1"/>
      <w:marLeft w:val="0"/>
      <w:marRight w:val="0"/>
      <w:marTop w:val="0"/>
      <w:marBottom w:val="0"/>
      <w:divBdr>
        <w:top w:val="none" w:sz="0" w:space="0" w:color="auto"/>
        <w:left w:val="none" w:sz="0" w:space="0" w:color="auto"/>
        <w:bottom w:val="none" w:sz="0" w:space="0" w:color="auto"/>
        <w:right w:val="none" w:sz="0" w:space="0" w:color="auto"/>
      </w:divBdr>
    </w:div>
    <w:div w:id="1794131446">
      <w:bodyDiv w:val="1"/>
      <w:marLeft w:val="0"/>
      <w:marRight w:val="0"/>
      <w:marTop w:val="0"/>
      <w:marBottom w:val="0"/>
      <w:divBdr>
        <w:top w:val="none" w:sz="0" w:space="0" w:color="auto"/>
        <w:left w:val="none" w:sz="0" w:space="0" w:color="auto"/>
        <w:bottom w:val="none" w:sz="0" w:space="0" w:color="auto"/>
        <w:right w:val="none" w:sz="0" w:space="0" w:color="auto"/>
      </w:divBdr>
    </w:div>
    <w:div w:id="208394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CED2543651268AC80FB4894FD4877333D14FAC0964F3AD1F520E5B0966CB86026B63F21E63AF6DC1ABI" TargetMode="External"/><Relationship Id="rId13" Type="http://schemas.openxmlformats.org/officeDocument/2006/relationships/image" Target="media/image4.wmf"/><Relationship Id="rId18" Type="http://schemas.openxmlformats.org/officeDocument/2006/relationships/hyperlink" Target="consultantplus://offline/ref=6A582D2C230EE628B670537C7DEF43EA3D56CA040A9C4DDFF22C587E14D007A6E540CF51764F0407P9J8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3E76A3EC34CC9F7701532C847CAA989D5AF7661F3A9D9DBB7656C9990932847E3FFD2C57896D21B69n6H" TargetMode="External"/><Relationship Id="rId7" Type="http://schemas.openxmlformats.org/officeDocument/2006/relationships/hyperlink" Target="consultantplus://offline/ref=EFA63E805B170601B09F1E7FE5BE411B329DF60FA8BC2F67E981F07DC6AC28E4B8E29CFDE100953BtDg4M" TargetMode="Externa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hyperlink" Target="consultantplus://offline/ref=DF37F2B775C18FCCB2AFA8C8B1009F09239447EA78F77EEC10A92254FF9ED5C9FF2FA13897B157A6vFj2H"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consultantplus://offline/ref=53E76A3EC34CC9F7701532C847CAA989D5AF7661F3A9D9DBB7656C9990932847E3FFD2C57896D61B69n9H" TargetMode="External"/><Relationship Id="rId1" Type="http://schemas.openxmlformats.org/officeDocument/2006/relationships/customXml" Target="../customXml/item1.xml"/><Relationship Id="rId6" Type="http://schemas.openxmlformats.org/officeDocument/2006/relationships/hyperlink" Target="mailto:komfort@rks.karelia.ru" TargetMode="External"/><Relationship Id="rId11" Type="http://schemas.openxmlformats.org/officeDocument/2006/relationships/image" Target="media/image2.wmf"/><Relationship Id="rId24" Type="http://schemas.openxmlformats.org/officeDocument/2006/relationships/hyperlink" Target="mailto:electra@rks.karelia.ru"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mailto:komfort@rks.karelia.ru" TargetMode="External"/><Relationship Id="rId10" Type="http://schemas.openxmlformats.org/officeDocument/2006/relationships/image" Target="media/image1.wmf"/><Relationship Id="rId19" Type="http://schemas.openxmlformats.org/officeDocument/2006/relationships/hyperlink" Target="consultantplus://offline/ref=53E76A3EC34CC9F7701532C847CAA989D5AF7661F3A9D9DBB7656C9990932847E3FFD2C57896D61B69n9H" TargetMode="External"/><Relationship Id="rId4" Type="http://schemas.openxmlformats.org/officeDocument/2006/relationships/settings" Target="settings.xml"/><Relationship Id="rId9" Type="http://schemas.openxmlformats.org/officeDocument/2006/relationships/hyperlink" Target="consultantplus://offline/ref=67CED2543651268AC80FB4894FD4877333D14FAC0964F3AD1F520E5B0966CB86026B63F216C6A3I" TargetMode="External"/><Relationship Id="rId14" Type="http://schemas.openxmlformats.org/officeDocument/2006/relationships/hyperlink" Target="consultantplus://offline/ref=6A582D2C230EE628B670537C7DEF43EA3D56CA040A9C4DDFF22C587E14D007A6E540CF51764F0407P9J8I" TargetMode="External"/><Relationship Id="rId22" Type="http://schemas.openxmlformats.org/officeDocument/2006/relationships/hyperlink" Target="consultantplus://offline/ref=53E76A3EC34CC9F7701532C847CAA989D5AF7661F3A9D9DBB7656C9990932847E3FFD2C57896D61B69n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652D6-AFE2-4504-904D-9836BDB8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32</Pages>
  <Words>11221</Words>
  <Characters>63963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75034</CharactersWithSpaces>
  <SharedDoc>false</SharedDoc>
  <HLinks>
    <vt:vector size="54" baseType="variant">
      <vt:variant>
        <vt:i4>6881340</vt:i4>
      </vt:variant>
      <vt:variant>
        <vt:i4>54</vt:i4>
      </vt:variant>
      <vt:variant>
        <vt:i4>0</vt:i4>
      </vt:variant>
      <vt:variant>
        <vt:i4>5</vt:i4>
      </vt:variant>
      <vt:variant>
        <vt:lpwstr>consultantplus://offline/ref=DF37F2B775C18FCCB2AFA8C8B1009F09239447EA78F77EEC10A92254FF9ED5C9FF2FA13897B157A6vFj2H</vt:lpwstr>
      </vt:variant>
      <vt:variant>
        <vt:lpwstr/>
      </vt:variant>
      <vt:variant>
        <vt:i4>1048696</vt:i4>
      </vt:variant>
      <vt:variant>
        <vt:i4>51</vt:i4>
      </vt:variant>
      <vt:variant>
        <vt:i4>0</vt:i4>
      </vt:variant>
      <vt:variant>
        <vt:i4>5</vt:i4>
      </vt:variant>
      <vt:variant>
        <vt:lpwstr>mailto:elektra@rks.karelia/ru</vt:lpwstr>
      </vt:variant>
      <vt:variant>
        <vt:lpwstr/>
      </vt:variant>
      <vt:variant>
        <vt:i4>1572983</vt:i4>
      </vt:variant>
      <vt:variant>
        <vt:i4>48</vt:i4>
      </vt:variant>
      <vt:variant>
        <vt:i4>0</vt:i4>
      </vt:variant>
      <vt:variant>
        <vt:i4>5</vt:i4>
      </vt:variant>
      <vt:variant>
        <vt:lpwstr>mailto:komfort@rks.karelia.ru</vt:lpwstr>
      </vt:variant>
      <vt:variant>
        <vt:lpwstr/>
      </vt:variant>
      <vt:variant>
        <vt:i4>2752575</vt:i4>
      </vt:variant>
      <vt:variant>
        <vt:i4>45</vt:i4>
      </vt:variant>
      <vt:variant>
        <vt:i4>0</vt:i4>
      </vt:variant>
      <vt:variant>
        <vt:i4>5</vt:i4>
      </vt:variant>
      <vt:variant>
        <vt:lpwstr>consultantplus://offline/ref=53E76A3EC34CC9F7701532C847CAA989D5AF7661F3A9D9DBB7656C9990932847E3FFD2C57896D61B69n9H</vt:lpwstr>
      </vt:variant>
      <vt:variant>
        <vt:lpwstr/>
      </vt:variant>
      <vt:variant>
        <vt:i4>2752564</vt:i4>
      </vt:variant>
      <vt:variant>
        <vt:i4>42</vt:i4>
      </vt:variant>
      <vt:variant>
        <vt:i4>0</vt:i4>
      </vt:variant>
      <vt:variant>
        <vt:i4>5</vt:i4>
      </vt:variant>
      <vt:variant>
        <vt:lpwstr>consultantplus://offline/ref=53E76A3EC34CC9F7701532C847CAA989D5AF7661F3A9D9DBB7656C9990932847E3FFD2C57896D21B69n6H</vt:lpwstr>
      </vt:variant>
      <vt:variant>
        <vt:lpwstr/>
      </vt:variant>
      <vt:variant>
        <vt:i4>2752575</vt:i4>
      </vt:variant>
      <vt:variant>
        <vt:i4>39</vt:i4>
      </vt:variant>
      <vt:variant>
        <vt:i4>0</vt:i4>
      </vt:variant>
      <vt:variant>
        <vt:i4>5</vt:i4>
      </vt:variant>
      <vt:variant>
        <vt:lpwstr>consultantplus://offline/ref=53E76A3EC34CC9F7701532C847CAA989D5AF7661F3A9D9DBB7656C9990932847E3FFD2C57896D61B69n9H</vt:lpwstr>
      </vt:variant>
      <vt:variant>
        <vt:lpwstr/>
      </vt:variant>
      <vt:variant>
        <vt:i4>2752575</vt:i4>
      </vt:variant>
      <vt:variant>
        <vt:i4>36</vt:i4>
      </vt:variant>
      <vt:variant>
        <vt:i4>0</vt:i4>
      </vt:variant>
      <vt:variant>
        <vt:i4>5</vt:i4>
      </vt:variant>
      <vt:variant>
        <vt:lpwstr>consultantplus://offline/ref=53E76A3EC34CC9F7701532C847CAA989D5AF7661F3A9D9DBB7656C9990932847E3FFD2C57896D61B69n9H</vt:lpwstr>
      </vt:variant>
      <vt:variant>
        <vt:lpwstr/>
      </vt:variant>
      <vt:variant>
        <vt:i4>7012450</vt:i4>
      </vt:variant>
      <vt:variant>
        <vt:i4>3</vt:i4>
      </vt:variant>
      <vt:variant>
        <vt:i4>0</vt:i4>
      </vt:variant>
      <vt:variant>
        <vt:i4>5</vt:i4>
      </vt:variant>
      <vt:variant>
        <vt:lpwstr>consultantplus://offline/ref=EFA63E805B170601B09F1E7FE5BE411B329DF60FA8BC2F67E981F07DC6AC28E4B8E29CFDE100953BtDg4M</vt:lpwstr>
      </vt:variant>
      <vt:variant>
        <vt:lpwstr/>
      </vt:variant>
      <vt:variant>
        <vt:i4>1572983</vt:i4>
      </vt:variant>
      <vt:variant>
        <vt:i4>0</vt:i4>
      </vt:variant>
      <vt:variant>
        <vt:i4>0</vt:i4>
      </vt:variant>
      <vt:variant>
        <vt:i4>5</vt:i4>
      </vt:variant>
      <vt:variant>
        <vt:lpwstr>mailto:komfort@rks.karelia.ru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bichkova.o</cp:lastModifiedBy>
  <cp:revision>17</cp:revision>
  <cp:lastPrinted>2015-05-26T08:36:00Z</cp:lastPrinted>
  <dcterms:created xsi:type="dcterms:W3CDTF">2016-04-28T12:13:00Z</dcterms:created>
  <dcterms:modified xsi:type="dcterms:W3CDTF">2017-04-20T06:27:00Z</dcterms:modified>
</cp:coreProperties>
</file>